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70EE" w14:textId="2D331362" w:rsidR="00F55342" w:rsidRDefault="005B0333" w:rsidP="00F84D24">
      <w:pPr>
        <w:spacing w:after="0" w:line="240" w:lineRule="auto"/>
        <w:rPr>
          <w:rFonts w:cstheme="minorHAnsi"/>
          <w:b/>
          <w:bCs/>
          <w:sz w:val="28"/>
          <w:szCs w:val="28"/>
        </w:rPr>
      </w:pPr>
      <w:r w:rsidRPr="003326E9">
        <w:rPr>
          <w:rFonts w:cstheme="minorHAnsi"/>
          <w:b/>
          <w:bCs/>
          <w:sz w:val="28"/>
          <w:szCs w:val="28"/>
          <w:u w:val="single"/>
        </w:rPr>
        <w:t>SUPPLEMENTARY</w:t>
      </w:r>
      <w:r>
        <w:rPr>
          <w:rFonts w:cstheme="minorHAnsi"/>
          <w:b/>
          <w:bCs/>
          <w:sz w:val="28"/>
          <w:szCs w:val="28"/>
        </w:rPr>
        <w:t xml:space="preserve"> </w:t>
      </w:r>
      <w:r w:rsidRPr="00063A64">
        <w:rPr>
          <w:rFonts w:cstheme="minorHAnsi"/>
          <w:b/>
          <w:bCs/>
          <w:sz w:val="28"/>
          <w:szCs w:val="28"/>
        </w:rPr>
        <w:t xml:space="preserve">DEVELOPMENT ASSESSMENT REPORT </w:t>
      </w:r>
    </w:p>
    <w:p w14:paraId="28BEAA86" w14:textId="77777777" w:rsidR="005B0333" w:rsidRPr="00063A64" w:rsidRDefault="005B0333" w:rsidP="00F84D24">
      <w:pPr>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4508"/>
        <w:gridCol w:w="4508"/>
      </w:tblGrid>
      <w:tr w:rsidR="00F55342" w:rsidRPr="00063A64" w14:paraId="49E992B9" w14:textId="77777777" w:rsidTr="00F55342">
        <w:tc>
          <w:tcPr>
            <w:tcW w:w="4508" w:type="dxa"/>
            <w:shd w:val="clear" w:color="auto" w:fill="D9D9D9" w:themeFill="background1" w:themeFillShade="D9"/>
          </w:tcPr>
          <w:p w14:paraId="7DC1472E" w14:textId="77777777" w:rsidR="00F55342" w:rsidRPr="00063A64" w:rsidRDefault="00F55342" w:rsidP="00F84D24">
            <w:pPr>
              <w:rPr>
                <w:rFonts w:cstheme="minorHAnsi"/>
              </w:rPr>
            </w:pPr>
            <w:r w:rsidRPr="00063A64">
              <w:rPr>
                <w:rFonts w:cstheme="minorHAnsi"/>
              </w:rPr>
              <w:t>Panel Reference</w:t>
            </w:r>
          </w:p>
        </w:tc>
        <w:tc>
          <w:tcPr>
            <w:tcW w:w="4508" w:type="dxa"/>
          </w:tcPr>
          <w:p w14:paraId="7AD49F20" w14:textId="77777777" w:rsidR="00F55342" w:rsidRPr="00063A64" w:rsidRDefault="003A080F" w:rsidP="00F84D24">
            <w:pPr>
              <w:rPr>
                <w:rFonts w:cstheme="minorHAnsi"/>
              </w:rPr>
            </w:pPr>
            <w:r w:rsidRPr="00063A64">
              <w:rPr>
                <w:rFonts w:cstheme="minorHAnsi"/>
              </w:rPr>
              <w:t>2019NTH017 and PPSNTH-13</w:t>
            </w:r>
          </w:p>
        </w:tc>
      </w:tr>
      <w:tr w:rsidR="00F55342" w:rsidRPr="00063A64" w14:paraId="01D55A2E" w14:textId="77777777" w:rsidTr="00F55342">
        <w:tc>
          <w:tcPr>
            <w:tcW w:w="4508" w:type="dxa"/>
            <w:shd w:val="clear" w:color="auto" w:fill="D9D9D9" w:themeFill="background1" w:themeFillShade="D9"/>
          </w:tcPr>
          <w:p w14:paraId="20AEA60A" w14:textId="77777777" w:rsidR="00F55342" w:rsidRPr="00063A64" w:rsidRDefault="00F55342" w:rsidP="00F84D24">
            <w:pPr>
              <w:rPr>
                <w:rFonts w:cstheme="minorHAnsi"/>
              </w:rPr>
            </w:pPr>
            <w:r w:rsidRPr="00063A64">
              <w:rPr>
                <w:rFonts w:cstheme="minorHAnsi"/>
              </w:rPr>
              <w:t>DA Number</w:t>
            </w:r>
          </w:p>
        </w:tc>
        <w:tc>
          <w:tcPr>
            <w:tcW w:w="4508" w:type="dxa"/>
          </w:tcPr>
          <w:p w14:paraId="67249783" w14:textId="77777777" w:rsidR="00F55342" w:rsidRPr="00063A64" w:rsidRDefault="003A080F" w:rsidP="00F84D24">
            <w:pPr>
              <w:rPr>
                <w:rFonts w:cstheme="minorHAnsi"/>
              </w:rPr>
            </w:pPr>
            <w:r w:rsidRPr="00063A64">
              <w:rPr>
                <w:rFonts w:cstheme="minorHAnsi"/>
              </w:rPr>
              <w:t>DA 2019.101</w:t>
            </w:r>
          </w:p>
        </w:tc>
      </w:tr>
      <w:tr w:rsidR="00F55342" w:rsidRPr="00063A64" w14:paraId="146F9CE5" w14:textId="77777777" w:rsidTr="00F55342">
        <w:tc>
          <w:tcPr>
            <w:tcW w:w="4508" w:type="dxa"/>
            <w:shd w:val="clear" w:color="auto" w:fill="D9D9D9" w:themeFill="background1" w:themeFillShade="D9"/>
          </w:tcPr>
          <w:p w14:paraId="70F1452A" w14:textId="77777777" w:rsidR="00F55342" w:rsidRPr="00063A64" w:rsidRDefault="00F55342" w:rsidP="00F84D24">
            <w:pPr>
              <w:rPr>
                <w:rFonts w:cstheme="minorHAnsi"/>
              </w:rPr>
            </w:pPr>
            <w:r w:rsidRPr="00063A64">
              <w:rPr>
                <w:rFonts w:cstheme="minorHAnsi"/>
              </w:rPr>
              <w:t>LGA</w:t>
            </w:r>
          </w:p>
        </w:tc>
        <w:tc>
          <w:tcPr>
            <w:tcW w:w="4508" w:type="dxa"/>
          </w:tcPr>
          <w:p w14:paraId="72F74DC6" w14:textId="77777777" w:rsidR="00F55342" w:rsidRPr="00063A64" w:rsidRDefault="00F55342" w:rsidP="00F84D24">
            <w:pPr>
              <w:rPr>
                <w:rFonts w:cstheme="minorHAnsi"/>
              </w:rPr>
            </w:pPr>
            <w:r w:rsidRPr="00063A64">
              <w:rPr>
                <w:rFonts w:cstheme="minorHAnsi"/>
              </w:rPr>
              <w:t>Tenterfield</w:t>
            </w:r>
          </w:p>
        </w:tc>
      </w:tr>
      <w:tr w:rsidR="00F55342" w:rsidRPr="00063A64" w14:paraId="3866A9CF" w14:textId="77777777" w:rsidTr="00F55342">
        <w:tc>
          <w:tcPr>
            <w:tcW w:w="4508" w:type="dxa"/>
            <w:shd w:val="clear" w:color="auto" w:fill="D9D9D9" w:themeFill="background1" w:themeFillShade="D9"/>
          </w:tcPr>
          <w:p w14:paraId="18E2A954" w14:textId="77777777" w:rsidR="00F55342" w:rsidRPr="00063A64" w:rsidRDefault="00F55342" w:rsidP="00F84D24">
            <w:pPr>
              <w:rPr>
                <w:rFonts w:cstheme="minorHAnsi"/>
              </w:rPr>
            </w:pPr>
            <w:r w:rsidRPr="00063A64">
              <w:rPr>
                <w:rFonts w:cstheme="minorHAnsi"/>
              </w:rPr>
              <w:t>Proposed Development</w:t>
            </w:r>
          </w:p>
        </w:tc>
        <w:tc>
          <w:tcPr>
            <w:tcW w:w="4508" w:type="dxa"/>
          </w:tcPr>
          <w:p w14:paraId="4A86AE77" w14:textId="77777777" w:rsidR="0092372E" w:rsidRPr="00063A64" w:rsidRDefault="0092372E" w:rsidP="00F84D24">
            <w:pPr>
              <w:jc w:val="both"/>
              <w:rPr>
                <w:rFonts w:cstheme="minorHAnsi"/>
              </w:rPr>
            </w:pPr>
            <w:r w:rsidRPr="00063A64">
              <w:rPr>
                <w:rFonts w:cstheme="minorHAnsi"/>
              </w:rPr>
              <w:t xml:space="preserve">The proposal </w:t>
            </w:r>
            <w:r w:rsidR="006F298B" w:rsidRPr="00063A64">
              <w:rPr>
                <w:rFonts w:cstheme="minorHAnsi"/>
              </w:rPr>
              <w:t>seeks to increase production from the current approved volume of 150,000 tonnes per year to 230,000 tonnes per year</w:t>
            </w:r>
            <w:r w:rsidRPr="00063A64">
              <w:rPr>
                <w:rFonts w:cstheme="minorHAnsi"/>
              </w:rPr>
              <w:t xml:space="preserve"> at the existing </w:t>
            </w:r>
            <w:proofErr w:type="spellStart"/>
            <w:r w:rsidRPr="00063A64">
              <w:rPr>
                <w:rFonts w:cstheme="minorHAnsi"/>
              </w:rPr>
              <w:t>Dowe's</w:t>
            </w:r>
            <w:proofErr w:type="spellEnd"/>
            <w:r w:rsidRPr="00063A64">
              <w:rPr>
                <w:rFonts w:cstheme="minorHAnsi"/>
              </w:rPr>
              <w:t xml:space="preserve"> Quarry within an expanded extraction area. </w:t>
            </w:r>
          </w:p>
          <w:p w14:paraId="2BDFF8DA" w14:textId="77777777" w:rsidR="0092372E" w:rsidRPr="00063A64" w:rsidRDefault="0092372E" w:rsidP="00F84D24">
            <w:pPr>
              <w:jc w:val="both"/>
              <w:rPr>
                <w:rFonts w:cstheme="minorHAnsi"/>
              </w:rPr>
            </w:pPr>
          </w:p>
          <w:p w14:paraId="4A5A9312" w14:textId="77777777" w:rsidR="0092372E" w:rsidRPr="00063A64" w:rsidRDefault="0092372E" w:rsidP="00F84D24">
            <w:pPr>
              <w:jc w:val="both"/>
              <w:rPr>
                <w:rFonts w:cstheme="minorHAnsi"/>
              </w:rPr>
            </w:pPr>
            <w:r w:rsidRPr="00063A64">
              <w:rPr>
                <w:rFonts w:cstheme="minorHAnsi"/>
              </w:rPr>
              <w:t xml:space="preserve">Processing activities, involving the crushing and screening of materials using mobile processing plant would also be </w:t>
            </w:r>
            <w:r w:rsidR="005B674C" w:rsidRPr="00063A64">
              <w:rPr>
                <w:rFonts w:cstheme="minorHAnsi"/>
              </w:rPr>
              <w:t>included</w:t>
            </w:r>
            <w:r w:rsidRPr="00063A64">
              <w:rPr>
                <w:rFonts w:cstheme="minorHAnsi"/>
              </w:rPr>
              <w:t xml:space="preserve"> in ongoing operations. </w:t>
            </w:r>
          </w:p>
          <w:p w14:paraId="0FC8E525" w14:textId="77777777" w:rsidR="0092372E" w:rsidRPr="00063A64" w:rsidRDefault="0092372E" w:rsidP="00F84D24">
            <w:pPr>
              <w:jc w:val="both"/>
              <w:rPr>
                <w:rFonts w:cstheme="minorHAnsi"/>
              </w:rPr>
            </w:pPr>
          </w:p>
          <w:p w14:paraId="290B7A7C" w14:textId="77777777" w:rsidR="00F55342" w:rsidRPr="00063A64" w:rsidRDefault="00F55342" w:rsidP="00F84D24">
            <w:pPr>
              <w:jc w:val="both"/>
              <w:rPr>
                <w:rFonts w:cstheme="minorHAnsi"/>
              </w:rPr>
            </w:pPr>
          </w:p>
        </w:tc>
      </w:tr>
      <w:tr w:rsidR="00F55342" w:rsidRPr="00063A64" w14:paraId="55902174" w14:textId="77777777" w:rsidTr="00F55342">
        <w:tc>
          <w:tcPr>
            <w:tcW w:w="4508" w:type="dxa"/>
            <w:shd w:val="clear" w:color="auto" w:fill="D9D9D9" w:themeFill="background1" w:themeFillShade="D9"/>
          </w:tcPr>
          <w:p w14:paraId="558D3DF8" w14:textId="77777777" w:rsidR="00F55342" w:rsidRPr="00063A64" w:rsidRDefault="00F55342" w:rsidP="00F84D24">
            <w:pPr>
              <w:rPr>
                <w:rFonts w:cstheme="minorHAnsi"/>
              </w:rPr>
            </w:pPr>
            <w:r w:rsidRPr="00063A64">
              <w:rPr>
                <w:rFonts w:cstheme="minorHAnsi"/>
              </w:rPr>
              <w:t>Street Address</w:t>
            </w:r>
          </w:p>
        </w:tc>
        <w:tc>
          <w:tcPr>
            <w:tcW w:w="4508" w:type="dxa"/>
          </w:tcPr>
          <w:p w14:paraId="268F2FC8" w14:textId="77777777" w:rsidR="00F55342" w:rsidRPr="00063A64" w:rsidRDefault="00F55342" w:rsidP="00F84D24">
            <w:pPr>
              <w:rPr>
                <w:rFonts w:cstheme="minorHAnsi"/>
              </w:rPr>
            </w:pPr>
            <w:r w:rsidRPr="00063A64">
              <w:rPr>
                <w:rFonts w:cstheme="minorHAnsi"/>
              </w:rPr>
              <w:t>Mt Lindesay Road, Tenterfield</w:t>
            </w:r>
            <w:r w:rsidR="005B674C" w:rsidRPr="00063A64">
              <w:rPr>
                <w:rFonts w:cstheme="minorHAnsi"/>
              </w:rPr>
              <w:t>.</w:t>
            </w:r>
          </w:p>
          <w:p w14:paraId="5E28D995" w14:textId="77777777" w:rsidR="0092372E" w:rsidRPr="00063A64" w:rsidRDefault="0092372E" w:rsidP="00F84D24">
            <w:pPr>
              <w:rPr>
                <w:rFonts w:cstheme="minorHAnsi"/>
              </w:rPr>
            </w:pPr>
          </w:p>
          <w:p w14:paraId="602FFF5F" w14:textId="77777777" w:rsidR="0092372E" w:rsidRPr="00063A64" w:rsidRDefault="0092372E" w:rsidP="00F84D24">
            <w:pPr>
              <w:rPr>
                <w:rFonts w:cstheme="minorHAnsi"/>
              </w:rPr>
            </w:pPr>
            <w:r w:rsidRPr="00063A64">
              <w:rPr>
                <w:rFonts w:cstheme="minorHAnsi"/>
              </w:rPr>
              <w:t>Lots 308, 309 DP 751540</w:t>
            </w:r>
          </w:p>
          <w:p w14:paraId="2C64BBFA" w14:textId="77777777" w:rsidR="0092372E" w:rsidRPr="00063A64" w:rsidRDefault="0092372E" w:rsidP="00F84D24">
            <w:pPr>
              <w:rPr>
                <w:rFonts w:cstheme="minorHAnsi"/>
              </w:rPr>
            </w:pPr>
            <w:r w:rsidRPr="00063A64">
              <w:rPr>
                <w:rFonts w:cstheme="minorHAnsi"/>
              </w:rPr>
              <w:t>Lots 3,4 DP 42044</w:t>
            </w:r>
          </w:p>
          <w:p w14:paraId="2F8C1ED8" w14:textId="77777777" w:rsidR="0092372E" w:rsidRPr="00063A64" w:rsidRDefault="0092372E" w:rsidP="00F84D24">
            <w:pPr>
              <w:rPr>
                <w:rFonts w:cstheme="minorHAnsi"/>
              </w:rPr>
            </w:pPr>
            <w:r w:rsidRPr="00063A64">
              <w:rPr>
                <w:rFonts w:cstheme="minorHAnsi"/>
              </w:rPr>
              <w:t>Lots 239, 244, 246, 260 DP 751540</w:t>
            </w:r>
          </w:p>
          <w:p w14:paraId="2D8800B6" w14:textId="77777777" w:rsidR="0092372E" w:rsidRPr="00063A64" w:rsidRDefault="0092372E" w:rsidP="00F84D24">
            <w:pPr>
              <w:rPr>
                <w:rFonts w:cstheme="minorHAnsi"/>
              </w:rPr>
            </w:pPr>
            <w:r w:rsidRPr="00063A64">
              <w:rPr>
                <w:rFonts w:cstheme="minorHAnsi"/>
              </w:rPr>
              <w:t>Lots 1,2,3,4 DP 1092215</w:t>
            </w:r>
          </w:p>
        </w:tc>
      </w:tr>
      <w:tr w:rsidR="00F55342" w:rsidRPr="00063A64" w14:paraId="6D5EA9B5" w14:textId="77777777" w:rsidTr="00F55342">
        <w:tc>
          <w:tcPr>
            <w:tcW w:w="4508" w:type="dxa"/>
            <w:shd w:val="clear" w:color="auto" w:fill="D9D9D9" w:themeFill="background1" w:themeFillShade="D9"/>
          </w:tcPr>
          <w:p w14:paraId="15604918" w14:textId="77777777" w:rsidR="00F55342" w:rsidRPr="00063A64" w:rsidRDefault="00F55342" w:rsidP="00F84D24">
            <w:pPr>
              <w:rPr>
                <w:rFonts w:cstheme="minorHAnsi"/>
              </w:rPr>
            </w:pPr>
            <w:r w:rsidRPr="00063A64">
              <w:rPr>
                <w:rFonts w:cstheme="minorHAnsi"/>
              </w:rPr>
              <w:t>Applicant/Owner</w:t>
            </w:r>
          </w:p>
        </w:tc>
        <w:tc>
          <w:tcPr>
            <w:tcW w:w="4508" w:type="dxa"/>
          </w:tcPr>
          <w:p w14:paraId="29E0CB0D" w14:textId="77777777" w:rsidR="00F55342" w:rsidRPr="00063A64" w:rsidRDefault="00F55342" w:rsidP="00F84D24">
            <w:pPr>
              <w:rPr>
                <w:rFonts w:cstheme="minorHAnsi"/>
              </w:rPr>
            </w:pPr>
            <w:r w:rsidRPr="00063A64">
              <w:rPr>
                <w:rFonts w:cstheme="minorHAnsi"/>
              </w:rPr>
              <w:t>Darryl McCarthy Constructions Pty Ltd</w:t>
            </w:r>
          </w:p>
          <w:p w14:paraId="2FDA8771" w14:textId="77777777" w:rsidR="00F55342" w:rsidRPr="00063A64" w:rsidRDefault="0092372E" w:rsidP="00F84D24">
            <w:pPr>
              <w:rPr>
                <w:rFonts w:cstheme="minorHAnsi"/>
              </w:rPr>
            </w:pPr>
            <w:r w:rsidRPr="00063A64">
              <w:rPr>
                <w:rFonts w:cstheme="minorHAnsi"/>
              </w:rPr>
              <w:t>PO Box 903</w:t>
            </w:r>
          </w:p>
          <w:p w14:paraId="6D8ACC18" w14:textId="77777777" w:rsidR="0092372E" w:rsidRPr="00063A64" w:rsidRDefault="0092372E" w:rsidP="00F84D24">
            <w:pPr>
              <w:rPr>
                <w:rFonts w:cstheme="minorHAnsi"/>
              </w:rPr>
            </w:pPr>
            <w:r w:rsidRPr="00063A64">
              <w:rPr>
                <w:rFonts w:cstheme="minorHAnsi"/>
              </w:rPr>
              <w:t>Oxenford QLD 4210</w:t>
            </w:r>
          </w:p>
          <w:p w14:paraId="00C4B0F4" w14:textId="77777777" w:rsidR="00F55342" w:rsidRPr="00063A64" w:rsidRDefault="00F55342" w:rsidP="00F84D24">
            <w:pPr>
              <w:rPr>
                <w:rFonts w:cstheme="minorHAnsi"/>
              </w:rPr>
            </w:pPr>
          </w:p>
          <w:p w14:paraId="14C53A6A" w14:textId="77777777" w:rsidR="008F2204" w:rsidRPr="00063A64" w:rsidRDefault="008F2204" w:rsidP="00F84D24">
            <w:pPr>
              <w:rPr>
                <w:rFonts w:cstheme="minorHAnsi"/>
              </w:rPr>
            </w:pPr>
            <w:r w:rsidRPr="001242AB">
              <w:rPr>
                <w:rFonts w:cstheme="minorHAnsi"/>
              </w:rPr>
              <w:t xml:space="preserve">R &amp; M </w:t>
            </w:r>
            <w:proofErr w:type="spellStart"/>
            <w:r w:rsidRPr="001242AB">
              <w:rPr>
                <w:rFonts w:cstheme="minorHAnsi"/>
              </w:rPr>
              <w:t>Dowe</w:t>
            </w:r>
            <w:proofErr w:type="spellEnd"/>
          </w:p>
        </w:tc>
      </w:tr>
      <w:tr w:rsidR="00F55342" w:rsidRPr="00063A64" w14:paraId="1C0F6636" w14:textId="77777777" w:rsidTr="00F55342">
        <w:tc>
          <w:tcPr>
            <w:tcW w:w="4508" w:type="dxa"/>
            <w:shd w:val="clear" w:color="auto" w:fill="D9D9D9" w:themeFill="background1" w:themeFillShade="D9"/>
          </w:tcPr>
          <w:p w14:paraId="63A168BE" w14:textId="77777777" w:rsidR="00F55342" w:rsidRPr="00063A64" w:rsidRDefault="00F55342" w:rsidP="00F84D24">
            <w:pPr>
              <w:rPr>
                <w:rFonts w:cstheme="minorHAnsi"/>
              </w:rPr>
            </w:pPr>
            <w:r w:rsidRPr="00063A64">
              <w:rPr>
                <w:rFonts w:cstheme="minorHAnsi"/>
              </w:rPr>
              <w:t>Date of Lodgement</w:t>
            </w:r>
          </w:p>
        </w:tc>
        <w:tc>
          <w:tcPr>
            <w:tcW w:w="4508" w:type="dxa"/>
          </w:tcPr>
          <w:p w14:paraId="423C3D7B" w14:textId="77777777" w:rsidR="00F55342" w:rsidRPr="00063A64" w:rsidRDefault="00BD0177" w:rsidP="00F84D24">
            <w:pPr>
              <w:rPr>
                <w:rFonts w:cstheme="minorHAnsi"/>
              </w:rPr>
            </w:pPr>
            <w:r w:rsidRPr="00063A64">
              <w:rPr>
                <w:rFonts w:cstheme="minorHAnsi"/>
              </w:rPr>
              <w:t>10 October 2019</w:t>
            </w:r>
          </w:p>
        </w:tc>
      </w:tr>
      <w:tr w:rsidR="00F55342" w:rsidRPr="00063A64" w14:paraId="29C8FF30" w14:textId="77777777" w:rsidTr="00F55342">
        <w:tc>
          <w:tcPr>
            <w:tcW w:w="4508" w:type="dxa"/>
            <w:shd w:val="clear" w:color="auto" w:fill="D9D9D9" w:themeFill="background1" w:themeFillShade="D9"/>
          </w:tcPr>
          <w:p w14:paraId="15D0E6E2" w14:textId="77777777" w:rsidR="00F55342" w:rsidRPr="00063A64" w:rsidRDefault="008F2204" w:rsidP="00F84D24">
            <w:pPr>
              <w:rPr>
                <w:rFonts w:cstheme="minorHAnsi"/>
              </w:rPr>
            </w:pPr>
            <w:r w:rsidRPr="00063A64">
              <w:rPr>
                <w:rFonts w:cstheme="minorHAnsi"/>
              </w:rPr>
              <w:t xml:space="preserve">Total </w:t>
            </w:r>
            <w:r w:rsidR="00F55342" w:rsidRPr="00063A64">
              <w:rPr>
                <w:rFonts w:cstheme="minorHAnsi"/>
              </w:rPr>
              <w:t>Number of Submissions</w:t>
            </w:r>
          </w:p>
        </w:tc>
        <w:tc>
          <w:tcPr>
            <w:tcW w:w="4508" w:type="dxa"/>
          </w:tcPr>
          <w:p w14:paraId="0A362799" w14:textId="77777777" w:rsidR="00F55342" w:rsidRPr="00063A64" w:rsidRDefault="008F2204" w:rsidP="00F84D24">
            <w:pPr>
              <w:rPr>
                <w:rFonts w:cstheme="minorHAnsi"/>
              </w:rPr>
            </w:pPr>
            <w:r w:rsidRPr="00063A64">
              <w:rPr>
                <w:rFonts w:cstheme="minorHAnsi"/>
              </w:rPr>
              <w:t>Round 1 -32 submissions including 1 group submission with 79 signatories</w:t>
            </w:r>
          </w:p>
          <w:p w14:paraId="5A99D499" w14:textId="77777777" w:rsidR="006F298B" w:rsidRPr="00063A64" w:rsidRDefault="006F298B" w:rsidP="00F84D24">
            <w:pPr>
              <w:rPr>
                <w:rFonts w:cstheme="minorHAnsi"/>
              </w:rPr>
            </w:pPr>
          </w:p>
          <w:p w14:paraId="5A7DDE60" w14:textId="77777777" w:rsidR="008F2204" w:rsidRPr="00063A64" w:rsidRDefault="008F2204" w:rsidP="00F84D24">
            <w:pPr>
              <w:rPr>
                <w:rFonts w:cstheme="minorHAnsi"/>
              </w:rPr>
            </w:pPr>
            <w:r w:rsidRPr="00063A64">
              <w:rPr>
                <w:rFonts w:cstheme="minorHAnsi"/>
              </w:rPr>
              <w:t xml:space="preserve">Round 2 – 14 submissions including 1 group submission with 8 signatories </w:t>
            </w:r>
          </w:p>
        </w:tc>
      </w:tr>
      <w:tr w:rsidR="00F55342" w:rsidRPr="00063A64" w14:paraId="6E54AE39" w14:textId="77777777" w:rsidTr="00F55342">
        <w:tc>
          <w:tcPr>
            <w:tcW w:w="4508" w:type="dxa"/>
            <w:shd w:val="clear" w:color="auto" w:fill="D9D9D9" w:themeFill="background1" w:themeFillShade="D9"/>
          </w:tcPr>
          <w:p w14:paraId="1EF2A703" w14:textId="77777777" w:rsidR="00F55342" w:rsidRPr="00063A64" w:rsidRDefault="00F55342" w:rsidP="00F84D24">
            <w:pPr>
              <w:rPr>
                <w:rFonts w:cstheme="minorHAnsi"/>
              </w:rPr>
            </w:pPr>
            <w:r w:rsidRPr="00063A64">
              <w:rPr>
                <w:rFonts w:cstheme="minorHAnsi"/>
              </w:rPr>
              <w:t>Recommendation</w:t>
            </w:r>
          </w:p>
        </w:tc>
        <w:tc>
          <w:tcPr>
            <w:tcW w:w="4508" w:type="dxa"/>
          </w:tcPr>
          <w:p w14:paraId="5DFDD802" w14:textId="77777777" w:rsidR="00F55342" w:rsidRPr="00063A64" w:rsidRDefault="00F55342" w:rsidP="00F84D24">
            <w:pPr>
              <w:rPr>
                <w:rFonts w:cstheme="minorHAnsi"/>
              </w:rPr>
            </w:pPr>
            <w:r w:rsidRPr="00063A64">
              <w:rPr>
                <w:rFonts w:cstheme="minorHAnsi"/>
              </w:rPr>
              <w:t>Approval</w:t>
            </w:r>
          </w:p>
        </w:tc>
      </w:tr>
      <w:tr w:rsidR="00F55342" w:rsidRPr="00063A64" w14:paraId="5C7C2CE4" w14:textId="77777777" w:rsidTr="00F55342">
        <w:tc>
          <w:tcPr>
            <w:tcW w:w="4508" w:type="dxa"/>
            <w:shd w:val="clear" w:color="auto" w:fill="D9D9D9" w:themeFill="background1" w:themeFillShade="D9"/>
          </w:tcPr>
          <w:p w14:paraId="41ACB752" w14:textId="77777777" w:rsidR="00F55342" w:rsidRPr="00063A64" w:rsidRDefault="00F55342" w:rsidP="00F84D24">
            <w:pPr>
              <w:jc w:val="both"/>
              <w:rPr>
                <w:rFonts w:cstheme="minorHAnsi"/>
              </w:rPr>
            </w:pPr>
            <w:r w:rsidRPr="00063A64">
              <w:rPr>
                <w:rFonts w:cstheme="minorHAnsi"/>
              </w:rPr>
              <w:t>Regional Development Criteria (Schedule 7 of the SEPP (State and Regional Development) 2011</w:t>
            </w:r>
          </w:p>
        </w:tc>
        <w:tc>
          <w:tcPr>
            <w:tcW w:w="4508" w:type="dxa"/>
          </w:tcPr>
          <w:p w14:paraId="1A018CF3" w14:textId="77777777" w:rsidR="006F298B" w:rsidRPr="00063A64" w:rsidRDefault="006F298B" w:rsidP="00F84D24">
            <w:pPr>
              <w:jc w:val="both"/>
              <w:rPr>
                <w:rFonts w:cstheme="minorHAnsi"/>
              </w:rPr>
            </w:pPr>
            <w:r w:rsidRPr="00063A64">
              <w:rPr>
                <w:rFonts w:cstheme="minorHAnsi"/>
              </w:rPr>
              <w:t>Clause 7 particular designated development</w:t>
            </w:r>
            <w:r w:rsidR="004E42F5" w:rsidRPr="00063A64">
              <w:rPr>
                <w:rFonts w:cstheme="minorHAnsi"/>
              </w:rPr>
              <w:t>.</w:t>
            </w:r>
          </w:p>
          <w:p w14:paraId="4888F6AE" w14:textId="77777777" w:rsidR="004E42F5" w:rsidRPr="00063A64" w:rsidRDefault="004E42F5" w:rsidP="00F84D24">
            <w:pPr>
              <w:jc w:val="both"/>
              <w:rPr>
                <w:rFonts w:cstheme="minorHAnsi"/>
              </w:rPr>
            </w:pPr>
          </w:p>
          <w:p w14:paraId="496C5816" w14:textId="77777777" w:rsidR="00F55342" w:rsidRPr="00063A64" w:rsidRDefault="006F298B" w:rsidP="004A5B6D">
            <w:pPr>
              <w:jc w:val="both"/>
              <w:rPr>
                <w:rFonts w:cstheme="minorHAnsi"/>
              </w:rPr>
            </w:pPr>
            <w:r w:rsidRPr="00063A64">
              <w:rPr>
                <w:rFonts w:cstheme="minorHAnsi"/>
              </w:rPr>
              <w:t xml:space="preserve">Development for the purposes of extractive industries, which meet the requirements for designated development under clause 19 of Schedule 3 to the </w:t>
            </w:r>
            <w:r w:rsidRPr="00063A64">
              <w:rPr>
                <w:rFonts w:cstheme="minorHAnsi"/>
                <w:i/>
                <w:iCs/>
              </w:rPr>
              <w:t>Environmental Planning and Assessment Regulation 2000</w:t>
            </w:r>
          </w:p>
        </w:tc>
      </w:tr>
      <w:tr w:rsidR="00F55342" w:rsidRPr="00063A64" w14:paraId="44110CA9" w14:textId="77777777" w:rsidTr="00F55342">
        <w:tc>
          <w:tcPr>
            <w:tcW w:w="4508" w:type="dxa"/>
            <w:shd w:val="clear" w:color="auto" w:fill="D9D9D9" w:themeFill="background1" w:themeFillShade="D9"/>
          </w:tcPr>
          <w:p w14:paraId="22D30C0F" w14:textId="77777777" w:rsidR="00F55342" w:rsidRPr="00063A64" w:rsidRDefault="00F55342" w:rsidP="00F84D24">
            <w:pPr>
              <w:rPr>
                <w:rFonts w:cstheme="minorHAnsi"/>
              </w:rPr>
            </w:pPr>
            <w:r w:rsidRPr="00063A64">
              <w:rPr>
                <w:rFonts w:cstheme="minorHAnsi"/>
              </w:rPr>
              <w:t>List of all relevant 4.15(1) matters</w:t>
            </w:r>
          </w:p>
        </w:tc>
        <w:tc>
          <w:tcPr>
            <w:tcW w:w="4508" w:type="dxa"/>
          </w:tcPr>
          <w:p w14:paraId="15825E23" w14:textId="77777777" w:rsidR="003A080F" w:rsidRPr="00063A64" w:rsidRDefault="003A080F" w:rsidP="00F84D24">
            <w:pPr>
              <w:rPr>
                <w:rFonts w:cstheme="minorHAnsi"/>
              </w:rPr>
            </w:pPr>
            <w:r w:rsidRPr="00063A64">
              <w:rPr>
                <w:rFonts w:cstheme="minorHAnsi"/>
              </w:rPr>
              <w:t>S4.15</w:t>
            </w:r>
            <w:r w:rsidR="00F55342" w:rsidRPr="00063A64">
              <w:rPr>
                <w:rFonts w:cstheme="minorHAnsi"/>
              </w:rPr>
              <w:t xml:space="preserve">(1)(a) Matters  </w:t>
            </w:r>
          </w:p>
          <w:p w14:paraId="45623184" w14:textId="77777777" w:rsidR="003A080F" w:rsidRPr="00063A64" w:rsidRDefault="003A080F" w:rsidP="00F84D24">
            <w:pPr>
              <w:rPr>
                <w:rFonts w:cstheme="minorHAnsi"/>
              </w:rPr>
            </w:pPr>
          </w:p>
          <w:p w14:paraId="631275C2" w14:textId="77777777" w:rsidR="00F55342" w:rsidRPr="00063A64" w:rsidRDefault="00F55342"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 xml:space="preserve">SEPP 33 Hazardous and Offensive Development </w:t>
            </w:r>
          </w:p>
          <w:p w14:paraId="563C8764" w14:textId="77777777" w:rsidR="00F55342" w:rsidRPr="00063A64" w:rsidRDefault="00F55342"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 xml:space="preserve">SEPP 44 Koala Habitat Protection </w:t>
            </w:r>
          </w:p>
          <w:p w14:paraId="6B22E117" w14:textId="77777777" w:rsidR="00F55342" w:rsidRPr="00063A64" w:rsidRDefault="00F55342"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 xml:space="preserve">SEPP 55 Remediation of Land </w:t>
            </w:r>
          </w:p>
          <w:p w14:paraId="3422206C" w14:textId="77777777" w:rsidR="00F55342" w:rsidRPr="00063A64" w:rsidRDefault="00F55342"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 xml:space="preserve">SEPP Mining &amp; Petroleum and Extractive Industries 2007 </w:t>
            </w:r>
          </w:p>
          <w:p w14:paraId="1C42ACD3" w14:textId="77777777" w:rsidR="004E42F5" w:rsidRPr="00063A64" w:rsidRDefault="00F55342"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lastRenderedPageBreak/>
              <w:t>Tenterfield Local Environmental Plan 2013</w:t>
            </w:r>
          </w:p>
          <w:p w14:paraId="44ECC91C" w14:textId="77777777" w:rsidR="004E42F5" w:rsidRPr="00063A64" w:rsidRDefault="004E42F5"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New England North West Regional Plan 2036</w:t>
            </w:r>
          </w:p>
          <w:p w14:paraId="4AEC0253" w14:textId="77777777" w:rsidR="00F55342" w:rsidRPr="00063A64" w:rsidRDefault="004E42F5" w:rsidP="00DA5D10">
            <w:pPr>
              <w:pStyle w:val="ListParagraph"/>
              <w:numPr>
                <w:ilvl w:val="0"/>
                <w:numId w:val="7"/>
              </w:numPr>
              <w:rPr>
                <w:rFonts w:asciiTheme="minorHAnsi" w:hAnsiTheme="minorHAnsi" w:cstheme="minorHAnsi"/>
                <w:sz w:val="22"/>
                <w:szCs w:val="22"/>
              </w:rPr>
            </w:pPr>
            <w:r w:rsidRPr="00063A64">
              <w:rPr>
                <w:rFonts w:asciiTheme="minorHAnsi" w:hAnsiTheme="minorHAnsi" w:cstheme="minorHAnsi"/>
                <w:sz w:val="22"/>
                <w:szCs w:val="22"/>
              </w:rPr>
              <w:t>Tenterfield Local Strategic Planning Statement 2040</w:t>
            </w:r>
            <w:r w:rsidR="00F55342" w:rsidRPr="00063A64">
              <w:rPr>
                <w:rFonts w:asciiTheme="minorHAnsi" w:hAnsiTheme="minorHAnsi" w:cstheme="minorHAnsi"/>
                <w:sz w:val="22"/>
                <w:szCs w:val="22"/>
              </w:rPr>
              <w:t xml:space="preserve"> </w:t>
            </w:r>
          </w:p>
          <w:p w14:paraId="5B220B1C" w14:textId="77777777" w:rsidR="00F55342" w:rsidRPr="00063A64" w:rsidRDefault="00F55342" w:rsidP="00F84D24">
            <w:pPr>
              <w:rPr>
                <w:rFonts w:cstheme="minorHAnsi"/>
              </w:rPr>
            </w:pPr>
          </w:p>
        </w:tc>
      </w:tr>
      <w:tr w:rsidR="00F55342" w:rsidRPr="00063A64" w14:paraId="5A655AC2" w14:textId="77777777" w:rsidTr="00F55342">
        <w:tc>
          <w:tcPr>
            <w:tcW w:w="4508" w:type="dxa"/>
            <w:shd w:val="clear" w:color="auto" w:fill="D9D9D9" w:themeFill="background1" w:themeFillShade="D9"/>
          </w:tcPr>
          <w:p w14:paraId="5D1F80EA" w14:textId="77777777" w:rsidR="00F55342" w:rsidRPr="00063A64" w:rsidRDefault="00F55342" w:rsidP="00F84D24">
            <w:pPr>
              <w:rPr>
                <w:rFonts w:cstheme="minorHAnsi"/>
              </w:rPr>
            </w:pPr>
            <w:r w:rsidRPr="00063A64">
              <w:rPr>
                <w:rFonts w:cstheme="minorHAnsi"/>
              </w:rPr>
              <w:lastRenderedPageBreak/>
              <w:t xml:space="preserve">List all documents submitted with this report for the </w:t>
            </w:r>
            <w:r w:rsidR="00867E28" w:rsidRPr="00063A64">
              <w:rPr>
                <w:rFonts w:cstheme="minorHAnsi"/>
              </w:rPr>
              <w:t>panel’s</w:t>
            </w:r>
            <w:r w:rsidRPr="00063A64">
              <w:rPr>
                <w:rFonts w:cstheme="minorHAnsi"/>
              </w:rPr>
              <w:t xml:space="preserve"> consideration</w:t>
            </w:r>
          </w:p>
        </w:tc>
        <w:tc>
          <w:tcPr>
            <w:tcW w:w="4508" w:type="dxa"/>
          </w:tcPr>
          <w:p w14:paraId="74DBE7AD" w14:textId="77777777" w:rsidR="00020ADF" w:rsidRPr="00020ADF" w:rsidRDefault="00F55342" w:rsidP="00020ADF">
            <w:pPr>
              <w:rPr>
                <w:rFonts w:cstheme="minorHAnsi"/>
              </w:rPr>
            </w:pPr>
            <w:r w:rsidRPr="00063A64">
              <w:rPr>
                <w:rFonts w:cstheme="minorHAnsi"/>
              </w:rPr>
              <w:t xml:space="preserve">Annexure A – </w:t>
            </w:r>
            <w:r w:rsidR="00020ADF" w:rsidRPr="00020ADF">
              <w:rPr>
                <w:rFonts w:cstheme="minorHAnsi"/>
              </w:rPr>
              <w:t xml:space="preserve">Independent Review of Human Health Assessment, </w:t>
            </w:r>
            <w:proofErr w:type="spellStart"/>
            <w:r w:rsidR="00020ADF" w:rsidRPr="00020ADF">
              <w:rPr>
                <w:rFonts w:cstheme="minorHAnsi"/>
              </w:rPr>
              <w:t>Dowes</w:t>
            </w:r>
            <w:proofErr w:type="spellEnd"/>
            <w:r w:rsidR="00020ADF" w:rsidRPr="00020ADF">
              <w:rPr>
                <w:rFonts w:cstheme="minorHAnsi"/>
              </w:rPr>
              <w:t xml:space="preserve"> Quarry, Tenterfield prepared by </w:t>
            </w:r>
            <w:proofErr w:type="spellStart"/>
            <w:r w:rsidR="00020ADF" w:rsidRPr="00020ADF">
              <w:rPr>
                <w:rFonts w:cstheme="minorHAnsi"/>
              </w:rPr>
              <w:t>Todoroski</w:t>
            </w:r>
            <w:proofErr w:type="spellEnd"/>
            <w:r w:rsidR="00020ADF" w:rsidRPr="00020ADF">
              <w:rPr>
                <w:rFonts w:cstheme="minorHAnsi"/>
              </w:rPr>
              <w:t xml:space="preserve"> Air </w:t>
            </w:r>
            <w:proofErr w:type="gramStart"/>
            <w:r w:rsidR="00020ADF" w:rsidRPr="00020ADF">
              <w:rPr>
                <w:rFonts w:cstheme="minorHAnsi"/>
              </w:rPr>
              <w:t>Services  (</w:t>
            </w:r>
            <w:proofErr w:type="gramEnd"/>
            <w:r w:rsidR="00020ADF" w:rsidRPr="00020ADF">
              <w:rPr>
                <w:rFonts w:cstheme="minorHAnsi"/>
              </w:rPr>
              <w:t>16 March 2021 Job Number 21011234)</w:t>
            </w:r>
          </w:p>
          <w:p w14:paraId="1CA182D4" w14:textId="3353C2D9" w:rsidR="00F55342" w:rsidRPr="00063A64" w:rsidRDefault="00F55342" w:rsidP="00F84D24">
            <w:pPr>
              <w:rPr>
                <w:rFonts w:cstheme="minorHAnsi"/>
              </w:rPr>
            </w:pPr>
          </w:p>
          <w:p w14:paraId="7B24AF1E" w14:textId="77777777" w:rsidR="00F55342" w:rsidRPr="00063A64" w:rsidRDefault="00F55342" w:rsidP="00F84D24">
            <w:pPr>
              <w:rPr>
                <w:rFonts w:cstheme="minorHAnsi"/>
              </w:rPr>
            </w:pPr>
          </w:p>
          <w:p w14:paraId="495F0344" w14:textId="77777777" w:rsidR="00F55342" w:rsidRPr="00063A64" w:rsidRDefault="00F55342" w:rsidP="00F84D24">
            <w:pPr>
              <w:rPr>
                <w:rFonts w:cstheme="minorHAnsi"/>
              </w:rPr>
            </w:pPr>
            <w:r w:rsidRPr="00063A64">
              <w:rPr>
                <w:rFonts w:cstheme="minorHAnsi"/>
              </w:rPr>
              <w:t>Annexure B – Recommended Conditions of Consent</w:t>
            </w:r>
          </w:p>
          <w:p w14:paraId="75445B09" w14:textId="77777777" w:rsidR="00F55342" w:rsidRPr="00063A64" w:rsidRDefault="00F55342" w:rsidP="00020ADF">
            <w:pPr>
              <w:rPr>
                <w:rFonts w:cstheme="minorHAnsi"/>
              </w:rPr>
            </w:pPr>
          </w:p>
        </w:tc>
      </w:tr>
      <w:tr w:rsidR="002F584E" w:rsidRPr="00063A64" w14:paraId="5CA788ED" w14:textId="77777777" w:rsidTr="00F55342">
        <w:tc>
          <w:tcPr>
            <w:tcW w:w="4508" w:type="dxa"/>
            <w:shd w:val="clear" w:color="auto" w:fill="D9D9D9" w:themeFill="background1" w:themeFillShade="D9"/>
          </w:tcPr>
          <w:p w14:paraId="7D57B34B" w14:textId="77777777" w:rsidR="002F584E" w:rsidRPr="00063A64" w:rsidRDefault="002F584E" w:rsidP="00F84D24">
            <w:pPr>
              <w:rPr>
                <w:rFonts w:cstheme="minorHAnsi"/>
              </w:rPr>
            </w:pPr>
            <w:r w:rsidRPr="00063A64">
              <w:rPr>
                <w:rFonts w:cstheme="minorHAnsi"/>
              </w:rPr>
              <w:t>Summary of key submissions</w:t>
            </w:r>
          </w:p>
        </w:tc>
        <w:tc>
          <w:tcPr>
            <w:tcW w:w="4508" w:type="dxa"/>
          </w:tcPr>
          <w:p w14:paraId="288636E3" w14:textId="77777777" w:rsidR="002F584E" w:rsidRPr="00063A64" w:rsidRDefault="002F584E" w:rsidP="00F84D24">
            <w:pPr>
              <w:rPr>
                <w:rFonts w:cstheme="minorHAnsi"/>
              </w:rPr>
            </w:pPr>
            <w:r w:rsidRPr="00063A64">
              <w:rPr>
                <w:rFonts w:cstheme="minorHAnsi"/>
              </w:rPr>
              <w:t>Air quality (health impacts)</w:t>
            </w:r>
          </w:p>
          <w:p w14:paraId="3FF47902" w14:textId="77777777" w:rsidR="002F584E" w:rsidRPr="00063A64" w:rsidRDefault="002F584E" w:rsidP="00F84D24">
            <w:pPr>
              <w:rPr>
                <w:rFonts w:cstheme="minorHAnsi"/>
              </w:rPr>
            </w:pPr>
            <w:r w:rsidRPr="00063A64">
              <w:rPr>
                <w:rFonts w:cstheme="minorHAnsi"/>
              </w:rPr>
              <w:t>Traffic</w:t>
            </w:r>
          </w:p>
          <w:p w14:paraId="20D313B3" w14:textId="77777777" w:rsidR="002F584E" w:rsidRPr="00063A64" w:rsidRDefault="002F584E" w:rsidP="00F84D24">
            <w:pPr>
              <w:rPr>
                <w:rFonts w:cstheme="minorHAnsi"/>
              </w:rPr>
            </w:pPr>
            <w:r w:rsidRPr="00063A64">
              <w:rPr>
                <w:rFonts w:cstheme="minorHAnsi"/>
              </w:rPr>
              <w:t>Noise</w:t>
            </w:r>
          </w:p>
        </w:tc>
      </w:tr>
      <w:tr w:rsidR="00F55342" w:rsidRPr="00063A64" w14:paraId="776CD154" w14:textId="77777777" w:rsidTr="00F55342">
        <w:tc>
          <w:tcPr>
            <w:tcW w:w="4508" w:type="dxa"/>
            <w:shd w:val="clear" w:color="auto" w:fill="D9D9D9" w:themeFill="background1" w:themeFillShade="D9"/>
          </w:tcPr>
          <w:p w14:paraId="223CD034" w14:textId="77777777" w:rsidR="00F55342" w:rsidRPr="00063A64" w:rsidRDefault="00F55342" w:rsidP="00F84D24">
            <w:pPr>
              <w:rPr>
                <w:rFonts w:cstheme="minorHAnsi"/>
              </w:rPr>
            </w:pPr>
            <w:r w:rsidRPr="00063A64">
              <w:rPr>
                <w:rFonts w:cstheme="minorHAnsi"/>
              </w:rPr>
              <w:t>Report prepared by</w:t>
            </w:r>
          </w:p>
        </w:tc>
        <w:tc>
          <w:tcPr>
            <w:tcW w:w="4508" w:type="dxa"/>
          </w:tcPr>
          <w:p w14:paraId="120C2825" w14:textId="77777777" w:rsidR="00F55342" w:rsidRPr="00063A64" w:rsidRDefault="00F55342" w:rsidP="00F84D24">
            <w:pPr>
              <w:rPr>
                <w:rFonts w:cstheme="minorHAnsi"/>
              </w:rPr>
            </w:pPr>
            <w:r w:rsidRPr="00063A64">
              <w:rPr>
                <w:rFonts w:cstheme="minorHAnsi"/>
              </w:rPr>
              <w:t>Anthony Daintith</w:t>
            </w:r>
          </w:p>
        </w:tc>
      </w:tr>
      <w:tr w:rsidR="00F55342" w:rsidRPr="00063A64" w14:paraId="68D8223E" w14:textId="77777777" w:rsidTr="00F55342">
        <w:tc>
          <w:tcPr>
            <w:tcW w:w="4508" w:type="dxa"/>
            <w:shd w:val="clear" w:color="auto" w:fill="D9D9D9" w:themeFill="background1" w:themeFillShade="D9"/>
          </w:tcPr>
          <w:p w14:paraId="24A78512" w14:textId="77777777" w:rsidR="00F55342" w:rsidRPr="00063A64" w:rsidRDefault="00F55342" w:rsidP="00F84D24">
            <w:pPr>
              <w:rPr>
                <w:rFonts w:cstheme="minorHAnsi"/>
              </w:rPr>
            </w:pPr>
            <w:r w:rsidRPr="00063A64">
              <w:rPr>
                <w:rFonts w:cstheme="minorHAnsi"/>
              </w:rPr>
              <w:t>Report date</w:t>
            </w:r>
          </w:p>
        </w:tc>
        <w:tc>
          <w:tcPr>
            <w:tcW w:w="4508" w:type="dxa"/>
          </w:tcPr>
          <w:p w14:paraId="49A8B943" w14:textId="77777777" w:rsidR="00F55342" w:rsidRPr="00063A64" w:rsidRDefault="00F55342" w:rsidP="00F84D24">
            <w:pPr>
              <w:rPr>
                <w:rFonts w:cstheme="minorHAnsi"/>
              </w:rPr>
            </w:pPr>
          </w:p>
        </w:tc>
      </w:tr>
    </w:tbl>
    <w:p w14:paraId="2E0D9209" w14:textId="77777777" w:rsidR="00F55342" w:rsidRPr="00063A64" w:rsidRDefault="00F55342" w:rsidP="00F84D24">
      <w:pPr>
        <w:spacing w:after="0" w:line="240" w:lineRule="auto"/>
        <w:rPr>
          <w:rFonts w:cstheme="minorHAnsi"/>
        </w:rPr>
      </w:pPr>
    </w:p>
    <w:tbl>
      <w:tblPr>
        <w:tblStyle w:val="TableGrid"/>
        <w:tblW w:w="0" w:type="auto"/>
        <w:tblLook w:val="04A0" w:firstRow="1" w:lastRow="0" w:firstColumn="1" w:lastColumn="0" w:noHBand="0" w:noVBand="1"/>
      </w:tblPr>
      <w:tblGrid>
        <w:gridCol w:w="7792"/>
        <w:gridCol w:w="1224"/>
      </w:tblGrid>
      <w:tr w:rsidR="00F55342" w:rsidRPr="00063A64" w14:paraId="120AE0E8" w14:textId="77777777" w:rsidTr="00F55342">
        <w:tc>
          <w:tcPr>
            <w:tcW w:w="7792" w:type="dxa"/>
          </w:tcPr>
          <w:p w14:paraId="59A82AE7" w14:textId="77777777" w:rsidR="00F55342" w:rsidRPr="00063A64" w:rsidRDefault="00F55342" w:rsidP="00F84D24">
            <w:pPr>
              <w:rPr>
                <w:rFonts w:cstheme="minorHAnsi"/>
                <w:b/>
                <w:bCs/>
              </w:rPr>
            </w:pPr>
            <w:r w:rsidRPr="00063A64">
              <w:rPr>
                <w:rFonts w:cstheme="minorHAnsi"/>
                <w:b/>
                <w:bCs/>
              </w:rPr>
              <w:t xml:space="preserve">Summary of s4.15 matters </w:t>
            </w:r>
          </w:p>
          <w:p w14:paraId="2382B7C6" w14:textId="77777777" w:rsidR="00F55342" w:rsidRPr="00063A64" w:rsidRDefault="00F55342" w:rsidP="00F84D24">
            <w:pPr>
              <w:rPr>
                <w:rFonts w:cstheme="minorHAnsi"/>
                <w:b/>
                <w:bCs/>
              </w:rPr>
            </w:pPr>
          </w:p>
          <w:p w14:paraId="68D0EC9C" w14:textId="77777777" w:rsidR="00F55342" w:rsidRPr="00063A64" w:rsidRDefault="00F55342" w:rsidP="00F84D24">
            <w:pPr>
              <w:rPr>
                <w:rFonts w:cstheme="minorHAnsi"/>
              </w:rPr>
            </w:pPr>
            <w:r w:rsidRPr="00063A64">
              <w:rPr>
                <w:rFonts w:cstheme="minorHAnsi"/>
              </w:rPr>
              <w:t xml:space="preserve">Have all recommendations in relation to relevant s4.15 matters been summarised in the Executive Summary of the assessment report? </w:t>
            </w:r>
          </w:p>
          <w:p w14:paraId="32121A07" w14:textId="77777777" w:rsidR="00F55342" w:rsidRPr="00063A64" w:rsidRDefault="00F55342" w:rsidP="00F84D24">
            <w:pPr>
              <w:rPr>
                <w:rFonts w:cstheme="minorHAnsi"/>
              </w:rPr>
            </w:pPr>
          </w:p>
        </w:tc>
        <w:tc>
          <w:tcPr>
            <w:tcW w:w="1224" w:type="dxa"/>
          </w:tcPr>
          <w:p w14:paraId="7B7D53F5" w14:textId="77777777" w:rsidR="00F55342" w:rsidRPr="00063A64" w:rsidRDefault="00F55342" w:rsidP="00F84D24">
            <w:pPr>
              <w:rPr>
                <w:rFonts w:cstheme="minorHAnsi"/>
              </w:rPr>
            </w:pPr>
            <w:r w:rsidRPr="00063A64">
              <w:rPr>
                <w:rFonts w:cstheme="minorHAnsi"/>
              </w:rPr>
              <w:t>Yes</w:t>
            </w:r>
          </w:p>
        </w:tc>
      </w:tr>
      <w:tr w:rsidR="00F55342" w:rsidRPr="00063A64" w14:paraId="502FD424" w14:textId="77777777" w:rsidTr="00F55342">
        <w:tc>
          <w:tcPr>
            <w:tcW w:w="7792" w:type="dxa"/>
          </w:tcPr>
          <w:p w14:paraId="4662E458" w14:textId="77777777" w:rsidR="00F55342" w:rsidRPr="00063A64" w:rsidRDefault="00F55342" w:rsidP="00F84D24">
            <w:pPr>
              <w:rPr>
                <w:rFonts w:cstheme="minorHAnsi"/>
                <w:b/>
                <w:bCs/>
              </w:rPr>
            </w:pPr>
            <w:r w:rsidRPr="00063A64">
              <w:rPr>
                <w:rFonts w:cstheme="minorHAnsi"/>
                <w:b/>
                <w:bCs/>
              </w:rPr>
              <w:t xml:space="preserve">Legislative clauses requiring consent authority satisfaction </w:t>
            </w:r>
          </w:p>
          <w:p w14:paraId="5ADEE96C" w14:textId="77777777" w:rsidR="00F55342" w:rsidRPr="00063A64" w:rsidRDefault="00F55342" w:rsidP="00F84D24">
            <w:pPr>
              <w:rPr>
                <w:rFonts w:cstheme="minorHAnsi"/>
              </w:rPr>
            </w:pPr>
          </w:p>
          <w:p w14:paraId="34ADABD4" w14:textId="77777777" w:rsidR="00F55342" w:rsidRPr="00063A64" w:rsidRDefault="00F55342" w:rsidP="00F84D24">
            <w:pPr>
              <w:rPr>
                <w:rFonts w:cstheme="minorHAnsi"/>
              </w:rPr>
            </w:pPr>
            <w:r w:rsidRPr="00063A64">
              <w:rPr>
                <w:rFonts w:cstheme="minorHAnsi"/>
              </w:rPr>
              <w:t xml:space="preserve">Have relevant clauses in all applicable environmental planning instruments where the consent authority must be satisfied about a particular matter been listed and relevant recommendations summarised, in the Executive Summary of the assessment report? </w:t>
            </w:r>
          </w:p>
          <w:p w14:paraId="05A5A475" w14:textId="77777777" w:rsidR="00F55342" w:rsidRPr="00063A64" w:rsidRDefault="00F55342" w:rsidP="00F84D24">
            <w:pPr>
              <w:rPr>
                <w:rFonts w:cstheme="minorHAnsi"/>
              </w:rPr>
            </w:pPr>
            <w:proofErr w:type="gramStart"/>
            <w:r w:rsidRPr="00063A64">
              <w:rPr>
                <w:rFonts w:cstheme="minorHAnsi"/>
              </w:rPr>
              <w:t>e.g.</w:t>
            </w:r>
            <w:proofErr w:type="gramEnd"/>
            <w:r w:rsidRPr="00063A64">
              <w:rPr>
                <w:rFonts w:cstheme="minorHAnsi"/>
              </w:rPr>
              <w:t xml:space="preserve"> Clause 7 of SEPP 55 - Remediation of Land, Clause 4.6(4) of the relevant LEP </w:t>
            </w:r>
          </w:p>
          <w:p w14:paraId="3EA2D813" w14:textId="77777777" w:rsidR="00F55342" w:rsidRPr="00063A64" w:rsidRDefault="00F55342" w:rsidP="00F84D24">
            <w:pPr>
              <w:rPr>
                <w:rFonts w:cstheme="minorHAnsi"/>
              </w:rPr>
            </w:pPr>
          </w:p>
        </w:tc>
        <w:tc>
          <w:tcPr>
            <w:tcW w:w="1224" w:type="dxa"/>
          </w:tcPr>
          <w:p w14:paraId="084813E4" w14:textId="77777777" w:rsidR="00F55342" w:rsidRPr="00063A64" w:rsidRDefault="00F55342" w:rsidP="00F84D24">
            <w:pPr>
              <w:rPr>
                <w:rFonts w:cstheme="minorHAnsi"/>
              </w:rPr>
            </w:pPr>
            <w:r w:rsidRPr="00063A64">
              <w:rPr>
                <w:rFonts w:cstheme="minorHAnsi"/>
              </w:rPr>
              <w:t>Yes</w:t>
            </w:r>
          </w:p>
        </w:tc>
      </w:tr>
      <w:tr w:rsidR="00F55342" w:rsidRPr="00063A64" w14:paraId="2C5F4B72" w14:textId="77777777" w:rsidTr="00F55342">
        <w:tc>
          <w:tcPr>
            <w:tcW w:w="7792" w:type="dxa"/>
          </w:tcPr>
          <w:p w14:paraId="55EA3966" w14:textId="77777777" w:rsidR="00F55342" w:rsidRPr="00063A64" w:rsidRDefault="00F55342" w:rsidP="00F84D24">
            <w:pPr>
              <w:rPr>
                <w:rFonts w:cstheme="minorHAnsi"/>
                <w:b/>
                <w:bCs/>
              </w:rPr>
            </w:pPr>
            <w:r w:rsidRPr="00063A64">
              <w:rPr>
                <w:rFonts w:cstheme="minorHAnsi"/>
                <w:b/>
                <w:bCs/>
              </w:rPr>
              <w:t xml:space="preserve">Clause 4.6 Exceptions to development standards </w:t>
            </w:r>
          </w:p>
          <w:p w14:paraId="15A8F378" w14:textId="77777777" w:rsidR="00F55342" w:rsidRPr="00063A64" w:rsidRDefault="00F55342" w:rsidP="00F84D24">
            <w:pPr>
              <w:rPr>
                <w:rFonts w:cstheme="minorHAnsi"/>
              </w:rPr>
            </w:pPr>
          </w:p>
          <w:p w14:paraId="0D910E46" w14:textId="77777777" w:rsidR="00F55342" w:rsidRPr="00063A64" w:rsidRDefault="00F55342" w:rsidP="00F84D24">
            <w:pPr>
              <w:rPr>
                <w:rFonts w:cstheme="minorHAnsi"/>
              </w:rPr>
            </w:pPr>
            <w:r w:rsidRPr="00063A64">
              <w:rPr>
                <w:rFonts w:cstheme="minorHAnsi"/>
              </w:rPr>
              <w:t xml:space="preserve">If a written request for a contravention to a development standard (clause 4.6 of the LEP) has been received, has it been attached to the assessment report? </w:t>
            </w:r>
          </w:p>
          <w:p w14:paraId="10DD5871" w14:textId="77777777" w:rsidR="00F55342" w:rsidRPr="00063A64" w:rsidRDefault="00F55342" w:rsidP="00F84D24">
            <w:pPr>
              <w:rPr>
                <w:rFonts w:cstheme="minorHAnsi"/>
              </w:rPr>
            </w:pPr>
          </w:p>
        </w:tc>
        <w:tc>
          <w:tcPr>
            <w:tcW w:w="1224" w:type="dxa"/>
          </w:tcPr>
          <w:p w14:paraId="1696A5B2" w14:textId="77777777" w:rsidR="00F55342" w:rsidRPr="00063A64" w:rsidRDefault="00F55342" w:rsidP="00F84D24">
            <w:pPr>
              <w:rPr>
                <w:rFonts w:cstheme="minorHAnsi"/>
              </w:rPr>
            </w:pPr>
            <w:r w:rsidRPr="00063A64">
              <w:rPr>
                <w:rFonts w:cstheme="minorHAnsi"/>
              </w:rPr>
              <w:t>NA</w:t>
            </w:r>
          </w:p>
        </w:tc>
      </w:tr>
      <w:tr w:rsidR="00F55342" w:rsidRPr="00063A64" w14:paraId="27219F33" w14:textId="77777777" w:rsidTr="00F55342">
        <w:tc>
          <w:tcPr>
            <w:tcW w:w="7792" w:type="dxa"/>
          </w:tcPr>
          <w:p w14:paraId="5EDE2D94" w14:textId="77777777" w:rsidR="00F55342" w:rsidRPr="00063A64" w:rsidRDefault="00F55342" w:rsidP="00F84D24">
            <w:pPr>
              <w:rPr>
                <w:rFonts w:cstheme="minorHAnsi"/>
                <w:b/>
                <w:bCs/>
              </w:rPr>
            </w:pPr>
            <w:r w:rsidRPr="00063A64">
              <w:rPr>
                <w:rFonts w:cstheme="minorHAnsi"/>
                <w:b/>
                <w:bCs/>
              </w:rPr>
              <w:t xml:space="preserve">Special Infrastructure Contributions </w:t>
            </w:r>
          </w:p>
          <w:p w14:paraId="0C876674" w14:textId="77777777" w:rsidR="00F55342" w:rsidRPr="00063A64" w:rsidRDefault="00F55342" w:rsidP="00F84D24">
            <w:pPr>
              <w:rPr>
                <w:rFonts w:cstheme="minorHAnsi"/>
              </w:rPr>
            </w:pPr>
          </w:p>
          <w:p w14:paraId="417221E5" w14:textId="77777777" w:rsidR="00F55342" w:rsidRPr="00063A64" w:rsidRDefault="00F55342" w:rsidP="00F84D24">
            <w:pPr>
              <w:rPr>
                <w:rFonts w:cstheme="minorHAnsi"/>
              </w:rPr>
            </w:pPr>
            <w:r w:rsidRPr="00063A64">
              <w:rPr>
                <w:rFonts w:cstheme="minorHAnsi"/>
              </w:rPr>
              <w:t>Does the DA require Special Infrastructure Contributions conditions (S94EF)?</w:t>
            </w:r>
          </w:p>
          <w:p w14:paraId="528B190B" w14:textId="77777777" w:rsidR="00F55342" w:rsidRPr="00063A64" w:rsidRDefault="00F55342" w:rsidP="00F84D24">
            <w:pPr>
              <w:rPr>
                <w:rFonts w:cstheme="minorHAnsi"/>
              </w:rPr>
            </w:pPr>
          </w:p>
          <w:p w14:paraId="3D4CA672" w14:textId="77777777" w:rsidR="00F55342" w:rsidRPr="00063A64" w:rsidRDefault="00F55342" w:rsidP="00F84D24">
            <w:pPr>
              <w:rPr>
                <w:rFonts w:cstheme="minorHAnsi"/>
              </w:rPr>
            </w:pPr>
            <w:r w:rsidRPr="00063A64">
              <w:rPr>
                <w:rFonts w:cstheme="minorHAnsi"/>
              </w:rPr>
              <w:t xml:space="preserve">Note: Certain DAs in the Western Sydney Growth Areas Special Contributions Area </w:t>
            </w:r>
          </w:p>
          <w:p w14:paraId="409A2906" w14:textId="77777777" w:rsidR="00F55342" w:rsidRPr="00063A64" w:rsidRDefault="00F55342" w:rsidP="00F84D24">
            <w:pPr>
              <w:rPr>
                <w:rFonts w:cstheme="minorHAnsi"/>
              </w:rPr>
            </w:pPr>
            <w:r w:rsidRPr="00063A64">
              <w:rPr>
                <w:rFonts w:cstheme="minorHAnsi"/>
              </w:rPr>
              <w:t xml:space="preserve">may require specific Special Infrastructure Contributions (SIC) conditions </w:t>
            </w:r>
          </w:p>
          <w:p w14:paraId="75249B33" w14:textId="77777777" w:rsidR="00F55342" w:rsidRPr="00063A64" w:rsidRDefault="00F55342" w:rsidP="00F84D24">
            <w:pPr>
              <w:rPr>
                <w:rFonts w:cstheme="minorHAnsi"/>
              </w:rPr>
            </w:pPr>
          </w:p>
        </w:tc>
        <w:tc>
          <w:tcPr>
            <w:tcW w:w="1224" w:type="dxa"/>
          </w:tcPr>
          <w:p w14:paraId="1862F36F" w14:textId="77777777" w:rsidR="00F55342" w:rsidRPr="00063A64" w:rsidRDefault="00F55342" w:rsidP="00F84D24">
            <w:pPr>
              <w:rPr>
                <w:rFonts w:cstheme="minorHAnsi"/>
              </w:rPr>
            </w:pPr>
            <w:r w:rsidRPr="00063A64">
              <w:rPr>
                <w:rFonts w:cstheme="minorHAnsi"/>
              </w:rPr>
              <w:t>NA</w:t>
            </w:r>
          </w:p>
        </w:tc>
      </w:tr>
      <w:tr w:rsidR="00F55342" w:rsidRPr="00063A64" w14:paraId="485FF2C1" w14:textId="77777777" w:rsidTr="00F55342">
        <w:tc>
          <w:tcPr>
            <w:tcW w:w="7792" w:type="dxa"/>
          </w:tcPr>
          <w:p w14:paraId="4FE53201" w14:textId="77777777" w:rsidR="00F55342" w:rsidRPr="00063A64" w:rsidRDefault="00F55342" w:rsidP="00F84D24">
            <w:pPr>
              <w:rPr>
                <w:rFonts w:cstheme="minorHAnsi"/>
                <w:b/>
                <w:bCs/>
              </w:rPr>
            </w:pPr>
            <w:r w:rsidRPr="00063A64">
              <w:rPr>
                <w:rFonts w:cstheme="minorHAnsi"/>
                <w:b/>
                <w:bCs/>
              </w:rPr>
              <w:t>Conditions</w:t>
            </w:r>
          </w:p>
          <w:p w14:paraId="26BC3F55" w14:textId="77777777" w:rsidR="00F55342" w:rsidRPr="00063A64" w:rsidRDefault="00F55342" w:rsidP="00F84D24">
            <w:pPr>
              <w:rPr>
                <w:rFonts w:cstheme="minorHAnsi"/>
              </w:rPr>
            </w:pPr>
          </w:p>
          <w:p w14:paraId="1ED67A18" w14:textId="77777777" w:rsidR="00F55342" w:rsidRPr="00063A64" w:rsidRDefault="00F55342" w:rsidP="00F84D24">
            <w:pPr>
              <w:rPr>
                <w:rFonts w:cstheme="minorHAnsi"/>
              </w:rPr>
            </w:pPr>
            <w:r w:rsidRPr="00063A64">
              <w:rPr>
                <w:rFonts w:cstheme="minorHAnsi"/>
              </w:rPr>
              <w:t xml:space="preserve">Have draft conditions been provided to the Applicant for comment? </w:t>
            </w:r>
          </w:p>
          <w:p w14:paraId="2516B8DF" w14:textId="77777777" w:rsidR="00F55342" w:rsidRPr="00063A64" w:rsidRDefault="00F55342" w:rsidP="00F84D24">
            <w:pPr>
              <w:rPr>
                <w:rFonts w:cstheme="minorHAnsi"/>
              </w:rPr>
            </w:pPr>
          </w:p>
          <w:p w14:paraId="73BF07CB" w14:textId="77777777" w:rsidR="00F55342" w:rsidRPr="00063A64" w:rsidRDefault="00F55342" w:rsidP="00F84D24">
            <w:pPr>
              <w:rPr>
                <w:rFonts w:cstheme="minorHAnsi"/>
              </w:rPr>
            </w:pPr>
            <w:r w:rsidRPr="00063A64">
              <w:rPr>
                <w:rFonts w:cstheme="minorHAnsi"/>
              </w:rPr>
              <w:lastRenderedPageBreak/>
              <w:t xml:space="preserve">Note: in order to reduce delays in determinations, the Panel prefer that draft conditions, notwithstanding Council’s recommendation, be provided to the Applicant to enable any comments to be considered as part of the assessment report </w:t>
            </w:r>
          </w:p>
          <w:p w14:paraId="029AED36" w14:textId="77777777" w:rsidR="00F55342" w:rsidRPr="00063A64" w:rsidRDefault="00F55342" w:rsidP="00F84D24">
            <w:pPr>
              <w:rPr>
                <w:rFonts w:cstheme="minorHAnsi"/>
              </w:rPr>
            </w:pPr>
          </w:p>
        </w:tc>
        <w:tc>
          <w:tcPr>
            <w:tcW w:w="1224" w:type="dxa"/>
          </w:tcPr>
          <w:p w14:paraId="0C8AEAD7" w14:textId="5663277B" w:rsidR="00F55342" w:rsidRPr="00063A64" w:rsidRDefault="001D094C" w:rsidP="00F84D24">
            <w:pPr>
              <w:rPr>
                <w:rFonts w:cstheme="minorHAnsi"/>
              </w:rPr>
            </w:pPr>
            <w:r>
              <w:rPr>
                <w:rFonts w:cstheme="minorHAnsi"/>
              </w:rPr>
              <w:lastRenderedPageBreak/>
              <w:t>Yes</w:t>
            </w:r>
          </w:p>
        </w:tc>
      </w:tr>
    </w:tbl>
    <w:p w14:paraId="23F0ACDF" w14:textId="77777777" w:rsidR="00856B18" w:rsidRPr="00063A64" w:rsidRDefault="00856B18" w:rsidP="00F84D24">
      <w:pPr>
        <w:spacing w:after="0" w:line="240" w:lineRule="auto"/>
        <w:rPr>
          <w:rFonts w:cstheme="minorHAnsi"/>
        </w:rPr>
      </w:pPr>
    </w:p>
    <w:p w14:paraId="0C54399C" w14:textId="3300ED02" w:rsidR="00FA3424" w:rsidRPr="00063A64" w:rsidRDefault="00FA3424" w:rsidP="00F84D24">
      <w:pPr>
        <w:pStyle w:val="Heading2"/>
        <w:spacing w:before="0" w:line="240" w:lineRule="auto"/>
        <w:rPr>
          <w:rFonts w:asciiTheme="minorHAnsi" w:hAnsiTheme="minorHAnsi" w:cstheme="minorHAnsi"/>
        </w:rPr>
      </w:pPr>
      <w:r w:rsidRPr="00063A64">
        <w:rPr>
          <w:rFonts w:asciiTheme="minorHAnsi" w:hAnsiTheme="minorHAnsi" w:cstheme="minorHAnsi"/>
        </w:rPr>
        <w:t>1.1</w:t>
      </w:r>
      <w:r w:rsidR="00F7134C" w:rsidRPr="00063A64">
        <w:rPr>
          <w:rFonts w:asciiTheme="minorHAnsi" w:hAnsiTheme="minorHAnsi" w:cstheme="minorHAnsi"/>
        </w:rPr>
        <w:tab/>
      </w:r>
      <w:r w:rsidRPr="00063A64">
        <w:rPr>
          <w:rFonts w:asciiTheme="minorHAnsi" w:hAnsiTheme="minorHAnsi" w:cstheme="minorHAnsi"/>
        </w:rPr>
        <w:t>Reason for Consideration by Joint Regional Planning Panel</w:t>
      </w:r>
    </w:p>
    <w:p w14:paraId="1632BFA2" w14:textId="77777777" w:rsidR="00FA3424" w:rsidRPr="00063A64" w:rsidRDefault="00FA3424" w:rsidP="00F84D24">
      <w:pPr>
        <w:spacing w:after="0" w:line="240" w:lineRule="auto"/>
        <w:rPr>
          <w:rFonts w:cstheme="minorHAnsi"/>
        </w:rPr>
      </w:pPr>
    </w:p>
    <w:p w14:paraId="33EE78E7" w14:textId="1B7B5971" w:rsidR="00FA3424" w:rsidRDefault="00DF7BF6" w:rsidP="00A211FE">
      <w:pPr>
        <w:spacing w:after="0" w:line="240" w:lineRule="auto"/>
        <w:jc w:val="both"/>
        <w:rPr>
          <w:rFonts w:cstheme="minorHAnsi"/>
        </w:rPr>
      </w:pPr>
      <w:r w:rsidRPr="00063A64">
        <w:rPr>
          <w:rFonts w:cstheme="minorHAnsi"/>
        </w:rPr>
        <w:t xml:space="preserve">As Designated Development for the purpose of extractive industry, the Proposal is also classified as "Regional Development" under Schedule 7(7) of the </w:t>
      </w:r>
      <w:r w:rsidRPr="00063A64">
        <w:rPr>
          <w:rFonts w:cstheme="minorHAnsi"/>
          <w:i/>
          <w:iCs/>
        </w:rPr>
        <w:t xml:space="preserve">State Environmental Planning Policy (State and Regional Development) 2011 </w:t>
      </w:r>
      <w:r w:rsidRPr="00063A64">
        <w:rPr>
          <w:rFonts w:cstheme="minorHAnsi"/>
        </w:rPr>
        <w:t>(State and Regional Development SEPP) and therefore determination of the application will be by the Northern Regional Planning Panel (RPP).</w:t>
      </w:r>
    </w:p>
    <w:p w14:paraId="6622F86C" w14:textId="429DA3E1" w:rsidR="005B0333" w:rsidRDefault="005B0333" w:rsidP="00A211FE">
      <w:pPr>
        <w:spacing w:after="0" w:line="240" w:lineRule="auto"/>
        <w:jc w:val="both"/>
        <w:rPr>
          <w:rFonts w:cstheme="minorHAnsi"/>
        </w:rPr>
      </w:pPr>
    </w:p>
    <w:p w14:paraId="34A4CD73" w14:textId="77619EFC" w:rsidR="005B0333" w:rsidRPr="005B0333" w:rsidRDefault="005B0333" w:rsidP="00A211FE">
      <w:pPr>
        <w:pStyle w:val="Heading2"/>
        <w:spacing w:before="0" w:line="240" w:lineRule="auto"/>
        <w:jc w:val="both"/>
        <w:rPr>
          <w:rFonts w:asciiTheme="minorHAnsi" w:hAnsiTheme="minorHAnsi" w:cstheme="minorHAnsi"/>
        </w:rPr>
      </w:pPr>
      <w:r w:rsidRPr="005B0333">
        <w:rPr>
          <w:rFonts w:asciiTheme="minorHAnsi" w:hAnsiTheme="minorHAnsi" w:cstheme="minorHAnsi"/>
        </w:rPr>
        <w:t>1.2</w:t>
      </w:r>
      <w:r w:rsidRPr="005B0333">
        <w:rPr>
          <w:rFonts w:asciiTheme="minorHAnsi" w:hAnsiTheme="minorHAnsi" w:cstheme="minorHAnsi"/>
        </w:rPr>
        <w:tab/>
        <w:t>Public Meeting</w:t>
      </w:r>
    </w:p>
    <w:p w14:paraId="52E64A83" w14:textId="77777777" w:rsidR="005B0333" w:rsidRPr="000C1802" w:rsidRDefault="005B0333" w:rsidP="00A211FE">
      <w:pPr>
        <w:spacing w:after="0" w:line="240" w:lineRule="auto"/>
        <w:jc w:val="both"/>
        <w:rPr>
          <w:rFonts w:cstheme="minorHAnsi"/>
          <w:sz w:val="24"/>
          <w:szCs w:val="24"/>
        </w:rPr>
      </w:pPr>
    </w:p>
    <w:p w14:paraId="3D6B58AD" w14:textId="34042CE2" w:rsidR="00834BA5" w:rsidRPr="000C1802" w:rsidRDefault="005B0333" w:rsidP="00A211FE">
      <w:pPr>
        <w:spacing w:after="0" w:line="240" w:lineRule="auto"/>
        <w:jc w:val="both"/>
        <w:rPr>
          <w:rFonts w:cstheme="minorHAnsi"/>
          <w:sz w:val="24"/>
          <w:szCs w:val="24"/>
        </w:rPr>
      </w:pPr>
      <w:r w:rsidRPr="000C1802">
        <w:rPr>
          <w:rFonts w:cstheme="minorHAnsi"/>
          <w:sz w:val="24"/>
          <w:szCs w:val="24"/>
        </w:rPr>
        <w:t xml:space="preserve">A public meeting of the Northern Regional Planning Panel was held by teleconference on the 8 December 2020.  </w:t>
      </w:r>
      <w:r w:rsidR="000C1802" w:rsidRPr="000C1802">
        <w:rPr>
          <w:rFonts w:cstheme="minorHAnsi"/>
          <w:sz w:val="24"/>
          <w:szCs w:val="24"/>
        </w:rPr>
        <w:t>The outcome of the meeting is as follows:</w:t>
      </w:r>
    </w:p>
    <w:p w14:paraId="57EA59C0" w14:textId="77777777" w:rsidR="00834BA5" w:rsidRPr="000C1802" w:rsidRDefault="00834BA5" w:rsidP="00A211FE">
      <w:pPr>
        <w:spacing w:after="0" w:line="240" w:lineRule="auto"/>
        <w:jc w:val="both"/>
        <w:rPr>
          <w:rFonts w:cstheme="minorHAnsi"/>
          <w:sz w:val="24"/>
          <w:szCs w:val="24"/>
        </w:rPr>
      </w:pPr>
    </w:p>
    <w:p w14:paraId="5579F450" w14:textId="20621943" w:rsidR="00270C38" w:rsidRPr="000C1802" w:rsidRDefault="005B0333" w:rsidP="00A211FE">
      <w:pPr>
        <w:spacing w:after="0" w:line="240" w:lineRule="auto"/>
        <w:ind w:left="720"/>
        <w:jc w:val="both"/>
        <w:rPr>
          <w:rFonts w:cstheme="minorHAnsi"/>
          <w:i/>
          <w:iCs/>
          <w:sz w:val="24"/>
          <w:szCs w:val="24"/>
        </w:rPr>
      </w:pPr>
      <w:r w:rsidRPr="000C1802">
        <w:rPr>
          <w:rFonts w:cstheme="minorHAnsi"/>
          <w:i/>
          <w:iCs/>
          <w:sz w:val="24"/>
          <w:szCs w:val="24"/>
        </w:rPr>
        <w:t xml:space="preserve">The </w:t>
      </w:r>
      <w:r w:rsidR="00834BA5" w:rsidRPr="000C1802">
        <w:rPr>
          <w:rFonts w:cstheme="minorHAnsi"/>
          <w:i/>
          <w:iCs/>
          <w:sz w:val="24"/>
          <w:szCs w:val="24"/>
        </w:rPr>
        <w:t xml:space="preserve">Panel </w:t>
      </w:r>
      <w:r w:rsidR="00270C38" w:rsidRPr="000C1802">
        <w:rPr>
          <w:rFonts w:cstheme="minorHAnsi"/>
          <w:i/>
          <w:iCs/>
          <w:sz w:val="24"/>
          <w:szCs w:val="24"/>
        </w:rPr>
        <w:t xml:space="preserve">agreed to defer the determination of the matter until an independent review of the Human Health Risk Assessment for Respirable Crystalline </w:t>
      </w:r>
      <w:r w:rsidR="000C1802" w:rsidRPr="000C1802">
        <w:rPr>
          <w:rFonts w:cstheme="minorHAnsi"/>
          <w:i/>
          <w:iCs/>
          <w:sz w:val="24"/>
          <w:szCs w:val="24"/>
        </w:rPr>
        <w:t>Silica</w:t>
      </w:r>
      <w:r w:rsidR="00270C38" w:rsidRPr="000C1802">
        <w:rPr>
          <w:rFonts w:cstheme="minorHAnsi"/>
          <w:i/>
          <w:iCs/>
          <w:sz w:val="24"/>
          <w:szCs w:val="24"/>
        </w:rPr>
        <w:t xml:space="preserve">: Expansion of </w:t>
      </w:r>
      <w:proofErr w:type="spellStart"/>
      <w:r w:rsidR="00270C38" w:rsidRPr="000C1802">
        <w:rPr>
          <w:rFonts w:cstheme="minorHAnsi"/>
          <w:i/>
          <w:iCs/>
          <w:sz w:val="24"/>
          <w:szCs w:val="24"/>
        </w:rPr>
        <w:t>Dowes</w:t>
      </w:r>
      <w:proofErr w:type="spellEnd"/>
      <w:r w:rsidR="00270C38" w:rsidRPr="000C1802">
        <w:rPr>
          <w:rFonts w:cstheme="minorHAnsi"/>
          <w:i/>
          <w:iCs/>
          <w:sz w:val="24"/>
          <w:szCs w:val="24"/>
        </w:rPr>
        <w:t xml:space="preserve"> Quarry has been undertaken by suitably qualified consultants engaged by Tenterfield Council at the applicant’s expense.</w:t>
      </w:r>
    </w:p>
    <w:p w14:paraId="586A18B9" w14:textId="77777777" w:rsidR="00270C38" w:rsidRPr="000C1802" w:rsidRDefault="00270C38" w:rsidP="00A211FE">
      <w:pPr>
        <w:spacing w:after="0" w:line="240" w:lineRule="auto"/>
        <w:ind w:left="720"/>
        <w:jc w:val="both"/>
        <w:rPr>
          <w:rFonts w:cstheme="minorHAnsi"/>
          <w:i/>
          <w:iCs/>
          <w:sz w:val="24"/>
          <w:szCs w:val="24"/>
        </w:rPr>
      </w:pPr>
    </w:p>
    <w:p w14:paraId="540D878F" w14:textId="55DABD81" w:rsidR="005B0333" w:rsidRPr="000C1802" w:rsidRDefault="00270C38" w:rsidP="00A211FE">
      <w:pPr>
        <w:spacing w:after="0" w:line="240" w:lineRule="auto"/>
        <w:ind w:left="720"/>
        <w:jc w:val="both"/>
        <w:rPr>
          <w:rFonts w:cstheme="minorHAnsi"/>
          <w:i/>
          <w:iCs/>
          <w:sz w:val="24"/>
          <w:szCs w:val="24"/>
        </w:rPr>
      </w:pPr>
      <w:r w:rsidRPr="000C1802">
        <w:rPr>
          <w:rFonts w:cstheme="minorHAnsi"/>
          <w:i/>
          <w:iCs/>
          <w:sz w:val="24"/>
          <w:szCs w:val="24"/>
        </w:rPr>
        <w:t>The independent review must be undertaken and reported to the panel by the 31 March 2021 and must:</w:t>
      </w:r>
    </w:p>
    <w:p w14:paraId="43A4F1A1" w14:textId="29D67951" w:rsidR="00270C38" w:rsidRPr="000C1802" w:rsidRDefault="00270C38" w:rsidP="00A211FE">
      <w:pPr>
        <w:spacing w:after="0" w:line="240" w:lineRule="auto"/>
        <w:ind w:left="720"/>
        <w:jc w:val="both"/>
        <w:rPr>
          <w:rFonts w:cstheme="minorHAnsi"/>
          <w:i/>
          <w:iCs/>
          <w:sz w:val="24"/>
          <w:szCs w:val="24"/>
        </w:rPr>
      </w:pPr>
    </w:p>
    <w:p w14:paraId="23F8EB60" w14:textId="65E9D53C" w:rsidR="00270C38" w:rsidRPr="000C1802" w:rsidRDefault="00270C38" w:rsidP="00A211FE">
      <w:pPr>
        <w:pStyle w:val="ListParagraph"/>
        <w:numPr>
          <w:ilvl w:val="0"/>
          <w:numId w:val="23"/>
        </w:numPr>
        <w:ind w:left="1440"/>
        <w:rPr>
          <w:rFonts w:asciiTheme="minorHAnsi" w:hAnsiTheme="minorHAnsi" w:cstheme="minorHAnsi"/>
          <w:i/>
          <w:iCs/>
          <w:sz w:val="24"/>
          <w:szCs w:val="24"/>
        </w:rPr>
      </w:pPr>
      <w:r w:rsidRPr="000C1802">
        <w:rPr>
          <w:rFonts w:asciiTheme="minorHAnsi" w:hAnsiTheme="minorHAnsi" w:cstheme="minorHAnsi"/>
          <w:i/>
          <w:iCs/>
          <w:sz w:val="24"/>
          <w:szCs w:val="24"/>
        </w:rPr>
        <w:t>Consider the adequacy of the Human Health Assessment and the proposed mitigation measures for the emission of respirable crystalline silica in the workplace and in the surrounding community</w:t>
      </w:r>
    </w:p>
    <w:p w14:paraId="56A64C44" w14:textId="7060FE98" w:rsidR="00270C38" w:rsidRPr="000C1802" w:rsidRDefault="00270C38" w:rsidP="00A211FE">
      <w:pPr>
        <w:pStyle w:val="ListParagraph"/>
        <w:numPr>
          <w:ilvl w:val="0"/>
          <w:numId w:val="23"/>
        </w:numPr>
        <w:ind w:left="1440"/>
        <w:rPr>
          <w:rFonts w:asciiTheme="minorHAnsi" w:hAnsiTheme="minorHAnsi" w:cstheme="minorHAnsi"/>
          <w:i/>
          <w:iCs/>
          <w:sz w:val="24"/>
          <w:szCs w:val="24"/>
        </w:rPr>
      </w:pPr>
      <w:r w:rsidRPr="000C1802">
        <w:rPr>
          <w:rFonts w:asciiTheme="minorHAnsi" w:hAnsiTheme="minorHAnsi" w:cstheme="minorHAnsi"/>
          <w:i/>
          <w:iCs/>
          <w:sz w:val="24"/>
          <w:szCs w:val="24"/>
        </w:rPr>
        <w:t xml:space="preserve">Identify any gaps in the documentation, analysis, assessment and </w:t>
      </w:r>
      <w:r w:rsidR="000C1802" w:rsidRPr="000C1802">
        <w:rPr>
          <w:rFonts w:asciiTheme="minorHAnsi" w:hAnsiTheme="minorHAnsi" w:cstheme="minorHAnsi"/>
          <w:i/>
          <w:iCs/>
          <w:sz w:val="24"/>
          <w:szCs w:val="24"/>
        </w:rPr>
        <w:t>recommendations</w:t>
      </w:r>
    </w:p>
    <w:p w14:paraId="7306D27C" w14:textId="0888D6C3" w:rsidR="00270C38" w:rsidRPr="000C1802" w:rsidRDefault="00270C38" w:rsidP="00A211FE">
      <w:pPr>
        <w:pStyle w:val="ListParagraph"/>
        <w:numPr>
          <w:ilvl w:val="0"/>
          <w:numId w:val="23"/>
        </w:numPr>
        <w:ind w:left="1440"/>
        <w:rPr>
          <w:rFonts w:asciiTheme="minorHAnsi" w:hAnsiTheme="minorHAnsi" w:cstheme="minorHAnsi"/>
          <w:i/>
          <w:iCs/>
          <w:sz w:val="24"/>
          <w:szCs w:val="24"/>
        </w:rPr>
      </w:pPr>
      <w:r w:rsidRPr="000C1802">
        <w:rPr>
          <w:rFonts w:asciiTheme="minorHAnsi" w:hAnsiTheme="minorHAnsi" w:cstheme="minorHAnsi"/>
          <w:i/>
          <w:iCs/>
          <w:sz w:val="24"/>
          <w:szCs w:val="24"/>
        </w:rPr>
        <w:t>Propose any other measures that could reasonably be applied to manage and mitigate the emission of respirable crystalline silica.</w:t>
      </w:r>
    </w:p>
    <w:p w14:paraId="04A3B290" w14:textId="05300B26" w:rsidR="00270C38" w:rsidRPr="000C1802" w:rsidRDefault="00270C38" w:rsidP="00A211FE">
      <w:pPr>
        <w:spacing w:after="0"/>
        <w:ind w:left="720"/>
        <w:jc w:val="both"/>
        <w:rPr>
          <w:rFonts w:cstheme="minorHAnsi"/>
          <w:i/>
          <w:iCs/>
          <w:sz w:val="24"/>
          <w:szCs w:val="24"/>
        </w:rPr>
      </w:pPr>
    </w:p>
    <w:p w14:paraId="1F287298" w14:textId="2F26F99E" w:rsidR="00270C38" w:rsidRPr="000C1802" w:rsidRDefault="00270C38" w:rsidP="00A211FE">
      <w:pPr>
        <w:spacing w:after="0"/>
        <w:ind w:left="720"/>
        <w:jc w:val="both"/>
        <w:rPr>
          <w:rFonts w:cstheme="minorHAnsi"/>
          <w:i/>
          <w:iCs/>
          <w:sz w:val="24"/>
          <w:szCs w:val="24"/>
        </w:rPr>
      </w:pPr>
      <w:r w:rsidRPr="000C1802">
        <w:rPr>
          <w:rFonts w:cstheme="minorHAnsi"/>
          <w:i/>
          <w:iCs/>
          <w:sz w:val="24"/>
          <w:szCs w:val="24"/>
        </w:rPr>
        <w:t>The reason for the deferral is to enable the independent review of the Human Health Risk Assessment for Respirable Crystalline Silica to be undertaken, because:</w:t>
      </w:r>
    </w:p>
    <w:p w14:paraId="0542EA42" w14:textId="7321A0DE" w:rsidR="00270C38" w:rsidRPr="000C1802" w:rsidRDefault="00270C38" w:rsidP="00A211FE">
      <w:pPr>
        <w:spacing w:after="0"/>
        <w:ind w:left="720"/>
        <w:jc w:val="both"/>
        <w:rPr>
          <w:rFonts w:cstheme="minorHAnsi"/>
          <w:i/>
          <w:iCs/>
          <w:sz w:val="24"/>
          <w:szCs w:val="24"/>
        </w:rPr>
      </w:pPr>
    </w:p>
    <w:p w14:paraId="6C255C02" w14:textId="0AF8668F" w:rsidR="00270C38" w:rsidRPr="000C1802" w:rsidRDefault="00270C38" w:rsidP="00A211FE">
      <w:pPr>
        <w:pStyle w:val="ListParagraph"/>
        <w:numPr>
          <w:ilvl w:val="0"/>
          <w:numId w:val="24"/>
        </w:numPr>
        <w:ind w:left="1440"/>
        <w:rPr>
          <w:rFonts w:asciiTheme="minorHAnsi" w:hAnsiTheme="minorHAnsi" w:cstheme="minorHAnsi"/>
          <w:i/>
          <w:iCs/>
          <w:sz w:val="24"/>
          <w:szCs w:val="24"/>
        </w:rPr>
      </w:pPr>
      <w:r w:rsidRPr="000C1802">
        <w:rPr>
          <w:rFonts w:asciiTheme="minorHAnsi" w:hAnsiTheme="minorHAnsi" w:cstheme="minorHAnsi"/>
          <w:i/>
          <w:iCs/>
          <w:sz w:val="24"/>
          <w:szCs w:val="24"/>
        </w:rPr>
        <w:t xml:space="preserve">The proposed expansion and changed operations, including on-site crushing, at </w:t>
      </w:r>
      <w:proofErr w:type="spellStart"/>
      <w:r w:rsidRPr="000C1802">
        <w:rPr>
          <w:rFonts w:asciiTheme="minorHAnsi" w:hAnsiTheme="minorHAnsi" w:cstheme="minorHAnsi"/>
          <w:i/>
          <w:iCs/>
          <w:sz w:val="24"/>
          <w:szCs w:val="24"/>
        </w:rPr>
        <w:t>Dowes</w:t>
      </w:r>
      <w:proofErr w:type="spellEnd"/>
      <w:r w:rsidRPr="000C1802">
        <w:rPr>
          <w:rFonts w:asciiTheme="minorHAnsi" w:hAnsiTheme="minorHAnsi" w:cstheme="minorHAnsi"/>
          <w:i/>
          <w:iCs/>
          <w:sz w:val="24"/>
          <w:szCs w:val="24"/>
        </w:rPr>
        <w:t xml:space="preserve"> Quarry will produce a level of respirable crystalline silica dust</w:t>
      </w:r>
    </w:p>
    <w:p w14:paraId="76832D53" w14:textId="7ABDECC9" w:rsidR="00270C38" w:rsidRPr="000C1802" w:rsidRDefault="00270C38" w:rsidP="00A211FE">
      <w:pPr>
        <w:pStyle w:val="ListParagraph"/>
        <w:numPr>
          <w:ilvl w:val="0"/>
          <w:numId w:val="24"/>
        </w:numPr>
        <w:ind w:left="1440"/>
        <w:rPr>
          <w:rFonts w:asciiTheme="minorHAnsi" w:hAnsiTheme="minorHAnsi" w:cstheme="minorHAnsi"/>
          <w:i/>
          <w:iCs/>
          <w:sz w:val="24"/>
          <w:szCs w:val="24"/>
        </w:rPr>
      </w:pPr>
      <w:r w:rsidRPr="000C1802">
        <w:rPr>
          <w:rFonts w:asciiTheme="minorHAnsi" w:hAnsiTheme="minorHAnsi" w:cstheme="minorHAnsi"/>
          <w:i/>
          <w:iCs/>
          <w:sz w:val="24"/>
          <w:szCs w:val="24"/>
        </w:rPr>
        <w:t xml:space="preserve">Residents and </w:t>
      </w:r>
      <w:r w:rsidR="000C1802" w:rsidRPr="000C1802">
        <w:rPr>
          <w:rFonts w:asciiTheme="minorHAnsi" w:hAnsiTheme="minorHAnsi" w:cstheme="minorHAnsi"/>
          <w:i/>
          <w:iCs/>
          <w:sz w:val="24"/>
          <w:szCs w:val="24"/>
        </w:rPr>
        <w:t>members</w:t>
      </w:r>
      <w:r w:rsidRPr="000C1802">
        <w:rPr>
          <w:rFonts w:asciiTheme="minorHAnsi" w:hAnsiTheme="minorHAnsi" w:cstheme="minorHAnsi"/>
          <w:i/>
          <w:iCs/>
          <w:sz w:val="24"/>
          <w:szCs w:val="24"/>
        </w:rPr>
        <w:t xml:space="preserve"> of the community surrounding the quarry have made submissions expressing their concern about the management of dust emission from proposed expanded quarry operations</w:t>
      </w:r>
    </w:p>
    <w:p w14:paraId="205D35C7" w14:textId="2F91CF29" w:rsidR="00270C38" w:rsidRPr="000C1802" w:rsidRDefault="000C1802" w:rsidP="00A211FE">
      <w:pPr>
        <w:pStyle w:val="ListParagraph"/>
        <w:numPr>
          <w:ilvl w:val="0"/>
          <w:numId w:val="24"/>
        </w:numPr>
        <w:ind w:left="1440"/>
        <w:rPr>
          <w:rFonts w:asciiTheme="minorHAnsi" w:hAnsiTheme="minorHAnsi" w:cstheme="minorHAnsi"/>
          <w:i/>
          <w:iCs/>
          <w:sz w:val="24"/>
          <w:szCs w:val="24"/>
        </w:rPr>
      </w:pPr>
      <w:r w:rsidRPr="000C1802">
        <w:rPr>
          <w:rFonts w:asciiTheme="minorHAnsi" w:hAnsiTheme="minorHAnsi" w:cstheme="minorHAnsi"/>
          <w:i/>
          <w:iCs/>
          <w:sz w:val="24"/>
          <w:szCs w:val="24"/>
        </w:rPr>
        <w:t>The panel wishes to be satisfied that the proposed expanded quarry will be able to operate with acceptable measures in place to manage and mitigate respirable crystalline silica dust emissions</w:t>
      </w:r>
    </w:p>
    <w:p w14:paraId="72826F88" w14:textId="77777777" w:rsidR="000C1802" w:rsidRPr="000C1802" w:rsidRDefault="000C1802" w:rsidP="00A211FE">
      <w:pPr>
        <w:spacing w:after="0"/>
        <w:ind w:left="720"/>
        <w:jc w:val="both"/>
        <w:rPr>
          <w:rFonts w:cstheme="minorHAnsi"/>
          <w:i/>
          <w:iCs/>
          <w:sz w:val="24"/>
          <w:szCs w:val="24"/>
        </w:rPr>
      </w:pPr>
    </w:p>
    <w:p w14:paraId="07C5163D" w14:textId="2047833D" w:rsidR="000C1802" w:rsidRPr="000C1802" w:rsidRDefault="000C1802" w:rsidP="00A211FE">
      <w:pPr>
        <w:spacing w:after="0"/>
        <w:ind w:left="720"/>
        <w:jc w:val="both"/>
        <w:rPr>
          <w:rFonts w:cstheme="minorHAnsi"/>
          <w:i/>
          <w:iCs/>
          <w:sz w:val="24"/>
          <w:szCs w:val="24"/>
        </w:rPr>
      </w:pPr>
      <w:r w:rsidRPr="000C1802">
        <w:rPr>
          <w:rFonts w:cstheme="minorHAnsi"/>
          <w:i/>
          <w:iCs/>
          <w:sz w:val="24"/>
          <w:szCs w:val="24"/>
        </w:rPr>
        <w:lastRenderedPageBreak/>
        <w:t>When this information has been received, the panel will hold another public determination meeting.</w:t>
      </w:r>
    </w:p>
    <w:p w14:paraId="6FE4737C" w14:textId="2A2F4639" w:rsidR="005B0333" w:rsidRPr="000C1802" w:rsidRDefault="005B0333" w:rsidP="00A211FE">
      <w:pPr>
        <w:spacing w:after="0" w:line="240" w:lineRule="auto"/>
        <w:jc w:val="both"/>
        <w:rPr>
          <w:rFonts w:cstheme="minorHAnsi"/>
          <w:sz w:val="24"/>
          <w:szCs w:val="24"/>
        </w:rPr>
      </w:pPr>
    </w:p>
    <w:p w14:paraId="72A5BB04" w14:textId="428869BD" w:rsidR="005B0333" w:rsidRPr="000C1802" w:rsidRDefault="000C1802" w:rsidP="00A211FE">
      <w:pPr>
        <w:pStyle w:val="Heading2"/>
        <w:jc w:val="both"/>
        <w:rPr>
          <w:rFonts w:asciiTheme="minorHAnsi" w:hAnsiTheme="minorHAnsi"/>
        </w:rPr>
      </w:pPr>
      <w:r>
        <w:t>1.3</w:t>
      </w:r>
      <w:r>
        <w:tab/>
        <w:t>Independent Review</w:t>
      </w:r>
    </w:p>
    <w:p w14:paraId="5EA10198" w14:textId="26AFCD86" w:rsidR="00DF7BF6" w:rsidRPr="000C1802" w:rsidRDefault="00DF7BF6" w:rsidP="00A211FE">
      <w:pPr>
        <w:spacing w:after="0" w:line="240" w:lineRule="auto"/>
        <w:jc w:val="both"/>
        <w:rPr>
          <w:rFonts w:cstheme="minorHAnsi"/>
        </w:rPr>
      </w:pPr>
    </w:p>
    <w:p w14:paraId="416C5C0E" w14:textId="32D2EEE4" w:rsidR="005B0333" w:rsidRPr="000C1802" w:rsidRDefault="000C1802" w:rsidP="00A211FE">
      <w:pPr>
        <w:spacing w:after="0" w:line="240" w:lineRule="auto"/>
        <w:jc w:val="both"/>
        <w:rPr>
          <w:rFonts w:cstheme="minorHAnsi"/>
        </w:rPr>
      </w:pPr>
      <w:r w:rsidRPr="000C1802">
        <w:rPr>
          <w:rFonts w:cstheme="minorHAnsi"/>
        </w:rPr>
        <w:t xml:space="preserve">An independent review of the Human Health Risk Assessment was undertaken by </w:t>
      </w:r>
      <w:proofErr w:type="spellStart"/>
      <w:r w:rsidRPr="000C1802">
        <w:rPr>
          <w:rFonts w:cstheme="minorHAnsi"/>
        </w:rPr>
        <w:t>Todoroski</w:t>
      </w:r>
      <w:proofErr w:type="spellEnd"/>
      <w:r w:rsidRPr="000C1802">
        <w:rPr>
          <w:rFonts w:cstheme="minorHAnsi"/>
        </w:rPr>
        <w:t xml:space="preserve"> Air Services</w:t>
      </w:r>
      <w:r w:rsidR="00020ADF">
        <w:rPr>
          <w:rFonts w:cstheme="minorHAnsi"/>
        </w:rPr>
        <w:t xml:space="preserve"> (Annexure A)</w:t>
      </w:r>
      <w:r w:rsidRPr="000C1802">
        <w:rPr>
          <w:rFonts w:cstheme="minorHAnsi"/>
        </w:rPr>
        <w:t xml:space="preserve"> in accordance with the Record of Deferral by the Panel dated 8 December 2020.</w:t>
      </w:r>
    </w:p>
    <w:p w14:paraId="564E7B0F" w14:textId="1BD3E00B" w:rsidR="000C1802" w:rsidRPr="000C1802" w:rsidRDefault="000C1802" w:rsidP="00A211FE">
      <w:pPr>
        <w:spacing w:after="0" w:line="240" w:lineRule="auto"/>
        <w:jc w:val="both"/>
        <w:rPr>
          <w:rFonts w:cstheme="minorHAnsi"/>
        </w:rPr>
      </w:pPr>
    </w:p>
    <w:p w14:paraId="2EFA4994" w14:textId="0957926E" w:rsidR="000C1802" w:rsidRDefault="000C1802" w:rsidP="00A211FE">
      <w:pPr>
        <w:spacing w:after="0"/>
        <w:jc w:val="both"/>
        <w:rPr>
          <w:rFonts w:cstheme="minorHAnsi"/>
        </w:rPr>
      </w:pPr>
      <w:r w:rsidRPr="000C1802">
        <w:rPr>
          <w:rFonts w:cstheme="minorHAnsi"/>
        </w:rPr>
        <w:t xml:space="preserve">This report reviews the </w:t>
      </w:r>
      <w:r w:rsidRPr="000C1802">
        <w:rPr>
          <w:rFonts w:cstheme="minorHAnsi"/>
          <w:i/>
          <w:iCs/>
        </w:rPr>
        <w:t xml:space="preserve">Human Health Risk Assessment for Respirable Crystalline Silica: Expansion of </w:t>
      </w:r>
      <w:proofErr w:type="spellStart"/>
      <w:r w:rsidRPr="000C1802">
        <w:rPr>
          <w:rFonts w:cstheme="minorHAnsi"/>
          <w:i/>
          <w:iCs/>
        </w:rPr>
        <w:t>Dowe’s</w:t>
      </w:r>
      <w:proofErr w:type="spellEnd"/>
      <w:r w:rsidRPr="000C1802">
        <w:rPr>
          <w:rFonts w:cstheme="minorHAnsi"/>
          <w:i/>
          <w:iCs/>
        </w:rPr>
        <w:t xml:space="preserve"> Quarry</w:t>
      </w:r>
      <w:r w:rsidRPr="000C1802">
        <w:rPr>
          <w:rFonts w:cstheme="minorHAnsi"/>
        </w:rPr>
        <w:t xml:space="preserve"> (</w:t>
      </w:r>
      <w:proofErr w:type="spellStart"/>
      <w:r w:rsidRPr="000C1802">
        <w:rPr>
          <w:rFonts w:cstheme="minorHAnsi"/>
          <w:b/>
          <w:bCs/>
        </w:rPr>
        <w:t>EnRisks</w:t>
      </w:r>
      <w:proofErr w:type="spellEnd"/>
      <w:r w:rsidRPr="000C1802">
        <w:rPr>
          <w:rFonts w:cstheme="minorHAnsi"/>
          <w:b/>
          <w:bCs/>
        </w:rPr>
        <w:t xml:space="preserve"> 2020</w:t>
      </w:r>
      <w:r w:rsidRPr="000C1802">
        <w:rPr>
          <w:rFonts w:cstheme="minorHAnsi"/>
        </w:rPr>
        <w:t xml:space="preserve">), and also the relevant supporting documentation for the Project that the HHRA relies on, including the </w:t>
      </w:r>
      <w:proofErr w:type="spellStart"/>
      <w:r w:rsidRPr="000C1802">
        <w:rPr>
          <w:rFonts w:cstheme="minorHAnsi"/>
          <w:i/>
          <w:iCs/>
        </w:rPr>
        <w:t>Dowe’s</w:t>
      </w:r>
      <w:proofErr w:type="spellEnd"/>
      <w:r w:rsidRPr="000C1802">
        <w:rPr>
          <w:rFonts w:cstheme="minorHAnsi"/>
          <w:i/>
          <w:iCs/>
        </w:rPr>
        <w:t xml:space="preserve"> Quarry Air Quality Impact Assessment</w:t>
      </w:r>
      <w:r w:rsidRPr="000C1802">
        <w:rPr>
          <w:rFonts w:cstheme="minorHAnsi"/>
        </w:rPr>
        <w:t xml:space="preserve"> (AQIA) (</w:t>
      </w:r>
      <w:proofErr w:type="spellStart"/>
      <w:r w:rsidRPr="000C1802">
        <w:rPr>
          <w:rFonts w:cstheme="minorHAnsi"/>
          <w:b/>
          <w:bCs/>
        </w:rPr>
        <w:t>Northstar</w:t>
      </w:r>
      <w:proofErr w:type="spellEnd"/>
      <w:r w:rsidRPr="000C1802">
        <w:rPr>
          <w:rFonts w:cstheme="minorHAnsi"/>
          <w:b/>
          <w:bCs/>
        </w:rPr>
        <w:t>, 2019</w:t>
      </w:r>
      <w:r w:rsidRPr="000C1802">
        <w:rPr>
          <w:rFonts w:cstheme="minorHAnsi"/>
        </w:rPr>
        <w:t xml:space="preserve">). </w:t>
      </w:r>
    </w:p>
    <w:p w14:paraId="7F994678" w14:textId="77777777" w:rsidR="000C1802" w:rsidRPr="000C1802" w:rsidRDefault="000C1802" w:rsidP="00A211FE">
      <w:pPr>
        <w:spacing w:after="0"/>
        <w:jc w:val="both"/>
        <w:rPr>
          <w:rFonts w:cstheme="minorHAnsi"/>
        </w:rPr>
      </w:pPr>
    </w:p>
    <w:p w14:paraId="653ADED6" w14:textId="363178DC" w:rsidR="000C1802" w:rsidRDefault="000C1802" w:rsidP="00A211FE">
      <w:pPr>
        <w:spacing w:after="0"/>
        <w:jc w:val="both"/>
        <w:rPr>
          <w:rFonts w:cstheme="minorHAnsi"/>
          <w:i/>
        </w:rPr>
      </w:pPr>
      <w:r w:rsidRPr="000C1802">
        <w:rPr>
          <w:rFonts w:cstheme="minorHAnsi"/>
          <w:i/>
        </w:rPr>
        <w:t>The independent review must be undertaken and reported to the panel by 31 March 2021 and must:</w:t>
      </w:r>
    </w:p>
    <w:p w14:paraId="22F64ECA" w14:textId="77777777" w:rsidR="000C1802" w:rsidRPr="000C1802" w:rsidRDefault="000C1802" w:rsidP="00A211FE">
      <w:pPr>
        <w:spacing w:after="0"/>
        <w:jc w:val="both"/>
        <w:rPr>
          <w:rFonts w:cstheme="minorHAnsi"/>
          <w:i/>
        </w:rPr>
      </w:pPr>
    </w:p>
    <w:p w14:paraId="1E83B45A" w14:textId="77777777" w:rsidR="000C1802" w:rsidRPr="000C1802" w:rsidRDefault="000C1802" w:rsidP="00A211FE">
      <w:pPr>
        <w:pStyle w:val="ListParagraph"/>
        <w:numPr>
          <w:ilvl w:val="0"/>
          <w:numId w:val="25"/>
        </w:numPr>
        <w:spacing w:line="276" w:lineRule="auto"/>
        <w:contextualSpacing w:val="0"/>
        <w:rPr>
          <w:rFonts w:asciiTheme="minorHAnsi" w:hAnsiTheme="minorHAnsi" w:cstheme="minorHAnsi"/>
          <w:i/>
          <w:sz w:val="22"/>
          <w:szCs w:val="22"/>
        </w:rPr>
      </w:pPr>
      <w:r w:rsidRPr="000C1802">
        <w:rPr>
          <w:rFonts w:asciiTheme="minorHAnsi" w:hAnsiTheme="minorHAnsi" w:cstheme="minorHAnsi"/>
          <w:i/>
          <w:sz w:val="22"/>
          <w:szCs w:val="22"/>
        </w:rPr>
        <w:t>Consider the adequacy of the Human Health Risk Assessment and the proposed mitigation measures for emissions of respirable crystalline silica in the workplace and in the surrounding community.</w:t>
      </w:r>
    </w:p>
    <w:p w14:paraId="3DAA96CB" w14:textId="77777777" w:rsidR="000C1802" w:rsidRPr="000C1802" w:rsidRDefault="000C1802" w:rsidP="00A211FE">
      <w:pPr>
        <w:pStyle w:val="ListParagraph"/>
        <w:numPr>
          <w:ilvl w:val="0"/>
          <w:numId w:val="25"/>
        </w:numPr>
        <w:spacing w:line="276" w:lineRule="auto"/>
        <w:contextualSpacing w:val="0"/>
        <w:rPr>
          <w:rFonts w:asciiTheme="minorHAnsi" w:hAnsiTheme="minorHAnsi" w:cstheme="minorHAnsi"/>
          <w:i/>
          <w:sz w:val="22"/>
          <w:szCs w:val="22"/>
        </w:rPr>
      </w:pPr>
      <w:r w:rsidRPr="000C1802">
        <w:rPr>
          <w:rFonts w:asciiTheme="minorHAnsi" w:hAnsiTheme="minorHAnsi" w:cstheme="minorHAnsi"/>
          <w:i/>
          <w:sz w:val="22"/>
          <w:szCs w:val="22"/>
        </w:rPr>
        <w:t>Identify any gaps in the documentation, analysis, assessment and recommendations.</w:t>
      </w:r>
    </w:p>
    <w:p w14:paraId="5467C921" w14:textId="77777777" w:rsidR="000C1802" w:rsidRPr="000C1802" w:rsidRDefault="000C1802" w:rsidP="00A211FE">
      <w:pPr>
        <w:pStyle w:val="ListParagraph"/>
        <w:numPr>
          <w:ilvl w:val="0"/>
          <w:numId w:val="25"/>
        </w:numPr>
        <w:spacing w:line="276" w:lineRule="auto"/>
        <w:contextualSpacing w:val="0"/>
        <w:rPr>
          <w:rFonts w:asciiTheme="minorHAnsi" w:hAnsiTheme="minorHAnsi" w:cstheme="minorHAnsi"/>
          <w:i/>
          <w:sz w:val="22"/>
          <w:szCs w:val="22"/>
        </w:rPr>
      </w:pPr>
      <w:r w:rsidRPr="000C1802">
        <w:rPr>
          <w:rFonts w:asciiTheme="minorHAnsi" w:hAnsiTheme="minorHAnsi" w:cstheme="minorHAnsi"/>
          <w:i/>
          <w:sz w:val="22"/>
          <w:szCs w:val="22"/>
        </w:rPr>
        <w:t xml:space="preserve">Propose any other measures that could reasonably be applied to manage and mitigate the emission of respirable crystalline silica. </w:t>
      </w:r>
    </w:p>
    <w:p w14:paraId="2984BC08" w14:textId="750E4FED" w:rsidR="005B0333" w:rsidRPr="000C1802" w:rsidRDefault="005B0333" w:rsidP="00A211FE">
      <w:pPr>
        <w:spacing w:after="0" w:line="240" w:lineRule="auto"/>
        <w:jc w:val="both"/>
        <w:rPr>
          <w:rFonts w:cstheme="minorHAnsi"/>
        </w:rPr>
      </w:pPr>
    </w:p>
    <w:p w14:paraId="411D2E89" w14:textId="61A415E7" w:rsidR="000C1802" w:rsidRDefault="000C1802" w:rsidP="00A211FE">
      <w:pPr>
        <w:spacing w:after="0" w:line="240" w:lineRule="auto"/>
        <w:jc w:val="both"/>
        <w:rPr>
          <w:rFonts w:cstheme="minorHAnsi"/>
        </w:rPr>
      </w:pPr>
      <w:r w:rsidRPr="000C1802">
        <w:rPr>
          <w:rFonts w:cstheme="minorHAnsi"/>
        </w:rPr>
        <w:t xml:space="preserve">The independent review </w:t>
      </w:r>
      <w:r w:rsidR="00020ADF">
        <w:rPr>
          <w:rFonts w:cstheme="minorHAnsi"/>
        </w:rPr>
        <w:t>provides</w:t>
      </w:r>
      <w:r w:rsidRPr="000C1802">
        <w:rPr>
          <w:rFonts w:cstheme="minorHAnsi"/>
        </w:rPr>
        <w:t xml:space="preserve"> the following summary and conclusions:</w:t>
      </w:r>
    </w:p>
    <w:p w14:paraId="14DB669E" w14:textId="77777777" w:rsidR="001F0760" w:rsidRPr="000C1802" w:rsidRDefault="001F0760" w:rsidP="00A211FE">
      <w:pPr>
        <w:spacing w:after="0" w:line="240" w:lineRule="auto"/>
        <w:jc w:val="both"/>
        <w:rPr>
          <w:rFonts w:cstheme="minorHAnsi"/>
        </w:rPr>
      </w:pPr>
    </w:p>
    <w:p w14:paraId="7A16A429" w14:textId="5030A9A3" w:rsidR="000C1802" w:rsidRPr="001F0760" w:rsidRDefault="000C1802" w:rsidP="00A211FE">
      <w:pPr>
        <w:pStyle w:val="Heading1"/>
        <w:spacing w:before="0"/>
        <w:ind w:left="709"/>
        <w:jc w:val="both"/>
        <w:rPr>
          <w:rFonts w:asciiTheme="minorHAnsi" w:hAnsiTheme="minorHAnsi" w:cstheme="minorHAnsi"/>
          <w:i/>
          <w:iCs/>
          <w:sz w:val="22"/>
          <w:szCs w:val="22"/>
        </w:rPr>
      </w:pPr>
      <w:bookmarkStart w:id="0" w:name="_Toc66709633"/>
      <w:r w:rsidRPr="001F0760">
        <w:rPr>
          <w:rFonts w:asciiTheme="minorHAnsi" w:hAnsiTheme="minorHAnsi" w:cstheme="minorHAnsi"/>
          <w:i/>
          <w:iCs/>
          <w:sz w:val="22"/>
          <w:szCs w:val="22"/>
        </w:rPr>
        <w:t>6</w:t>
      </w:r>
      <w:r w:rsidRPr="001F0760">
        <w:rPr>
          <w:rFonts w:asciiTheme="minorHAnsi" w:hAnsiTheme="minorHAnsi" w:cstheme="minorHAnsi"/>
          <w:i/>
          <w:iCs/>
          <w:sz w:val="22"/>
          <w:szCs w:val="22"/>
        </w:rPr>
        <w:tab/>
        <w:t>Summary and Conclusions</w:t>
      </w:r>
      <w:bookmarkEnd w:id="0"/>
    </w:p>
    <w:p w14:paraId="7BAFD4A6" w14:textId="77777777" w:rsidR="000C1802" w:rsidRPr="001F0760" w:rsidRDefault="000C1802" w:rsidP="00A211FE">
      <w:pPr>
        <w:spacing w:after="0"/>
        <w:ind w:left="709"/>
        <w:jc w:val="both"/>
        <w:rPr>
          <w:rFonts w:cstheme="minorHAnsi"/>
          <w:i/>
          <w:iCs/>
        </w:rPr>
      </w:pPr>
    </w:p>
    <w:p w14:paraId="51A4A1CB" w14:textId="3FFC7CBC" w:rsidR="000C1802" w:rsidRPr="001F0760" w:rsidRDefault="000C1802" w:rsidP="00A211FE">
      <w:pPr>
        <w:spacing w:after="0"/>
        <w:ind w:left="709"/>
        <w:jc w:val="both"/>
        <w:rPr>
          <w:rFonts w:cstheme="minorHAnsi"/>
          <w:i/>
          <w:iCs/>
        </w:rPr>
      </w:pPr>
      <w:proofErr w:type="spellStart"/>
      <w:r w:rsidRPr="001F0760">
        <w:rPr>
          <w:rFonts w:cstheme="minorHAnsi"/>
          <w:i/>
          <w:iCs/>
        </w:rPr>
        <w:t>Todoroski</w:t>
      </w:r>
      <w:proofErr w:type="spellEnd"/>
      <w:r w:rsidRPr="001F0760">
        <w:rPr>
          <w:rFonts w:cstheme="minorHAnsi"/>
          <w:i/>
          <w:iCs/>
        </w:rPr>
        <w:t xml:space="preserve"> Air Sciences have reviewed the HHRA, and also the key supporting information in the AQIA which is used in the HHRA. </w:t>
      </w:r>
    </w:p>
    <w:p w14:paraId="544A211F" w14:textId="77777777" w:rsidR="001F0760" w:rsidRPr="001F0760" w:rsidRDefault="001F0760" w:rsidP="00A211FE">
      <w:pPr>
        <w:spacing w:after="0"/>
        <w:ind w:left="709"/>
        <w:jc w:val="both"/>
        <w:rPr>
          <w:rFonts w:cstheme="minorHAnsi"/>
          <w:i/>
          <w:iCs/>
        </w:rPr>
      </w:pPr>
    </w:p>
    <w:p w14:paraId="33DFCDFA" w14:textId="044296D7" w:rsidR="000C1802" w:rsidRPr="001F0760" w:rsidRDefault="000C1802" w:rsidP="00A211FE">
      <w:pPr>
        <w:spacing w:after="0"/>
        <w:ind w:left="709"/>
        <w:jc w:val="both"/>
        <w:rPr>
          <w:rFonts w:cstheme="minorHAnsi"/>
          <w:i/>
          <w:iCs/>
        </w:rPr>
      </w:pPr>
      <w:r w:rsidRPr="001F0760">
        <w:rPr>
          <w:rFonts w:cstheme="minorHAnsi"/>
          <w:i/>
          <w:iCs/>
        </w:rPr>
        <w:t xml:space="preserve">We found that the HHRA and the AQIA are adequate and conclude that the Project would meet the relevant criteria, including for respirable crystalline silica, by a large margin. </w:t>
      </w:r>
    </w:p>
    <w:p w14:paraId="09A17413" w14:textId="77777777" w:rsidR="001F0760" w:rsidRPr="001F0760" w:rsidRDefault="001F0760" w:rsidP="00A211FE">
      <w:pPr>
        <w:spacing w:after="0"/>
        <w:ind w:left="709"/>
        <w:jc w:val="both"/>
        <w:rPr>
          <w:rFonts w:cstheme="minorHAnsi"/>
          <w:i/>
          <w:iCs/>
        </w:rPr>
      </w:pPr>
    </w:p>
    <w:p w14:paraId="2BEDB282" w14:textId="11EEB8B3" w:rsidR="000C1802" w:rsidRPr="001F0760" w:rsidRDefault="000C1802" w:rsidP="00A211FE">
      <w:pPr>
        <w:spacing w:after="0"/>
        <w:ind w:left="709"/>
        <w:jc w:val="both"/>
        <w:rPr>
          <w:rFonts w:cstheme="minorHAnsi"/>
          <w:i/>
          <w:iCs/>
        </w:rPr>
      </w:pPr>
      <w:r w:rsidRPr="001F0760">
        <w:rPr>
          <w:rFonts w:cstheme="minorHAnsi"/>
          <w:i/>
          <w:iCs/>
        </w:rPr>
        <w:t>We found that there is no valid reason to not approve the quarry expansion as it is presently proposed, and we recommend that the Project is approved.</w:t>
      </w:r>
    </w:p>
    <w:p w14:paraId="0E305C8F" w14:textId="77777777" w:rsidR="001F0760" w:rsidRPr="001F0760" w:rsidRDefault="001F0760" w:rsidP="00A211FE">
      <w:pPr>
        <w:spacing w:after="0"/>
        <w:ind w:left="709"/>
        <w:jc w:val="both"/>
        <w:rPr>
          <w:rFonts w:cstheme="minorHAnsi"/>
          <w:i/>
          <w:iCs/>
        </w:rPr>
      </w:pPr>
    </w:p>
    <w:p w14:paraId="58E5F207" w14:textId="705B8FE5" w:rsidR="000C1802" w:rsidRPr="001F0760" w:rsidRDefault="000C1802" w:rsidP="00A211FE">
      <w:pPr>
        <w:spacing w:after="0"/>
        <w:ind w:left="709"/>
        <w:jc w:val="both"/>
        <w:rPr>
          <w:rFonts w:cstheme="minorHAnsi"/>
          <w:i/>
          <w:iCs/>
        </w:rPr>
      </w:pPr>
      <w:r w:rsidRPr="001F0760">
        <w:rPr>
          <w:rFonts w:cstheme="minorHAnsi"/>
          <w:i/>
          <w:iCs/>
        </w:rPr>
        <w:t>Our response to the specific questions asked in the scope of work is set out below each question, as follows.</w:t>
      </w:r>
    </w:p>
    <w:p w14:paraId="03AC3C01" w14:textId="77777777" w:rsidR="001F0760" w:rsidRPr="001F0760" w:rsidRDefault="001F0760" w:rsidP="00A211FE">
      <w:pPr>
        <w:spacing w:after="0"/>
        <w:ind w:left="709"/>
        <w:jc w:val="both"/>
        <w:rPr>
          <w:rFonts w:cstheme="minorHAnsi"/>
          <w:i/>
          <w:iCs/>
        </w:rPr>
      </w:pPr>
    </w:p>
    <w:p w14:paraId="0882D75B" w14:textId="77777777" w:rsidR="000C1802" w:rsidRPr="001F0760" w:rsidRDefault="000C1802" w:rsidP="00A211FE">
      <w:pPr>
        <w:pStyle w:val="ListParagraph"/>
        <w:numPr>
          <w:ilvl w:val="0"/>
          <w:numId w:val="25"/>
        </w:numPr>
        <w:spacing w:line="276" w:lineRule="auto"/>
        <w:ind w:left="709"/>
        <w:contextualSpacing w:val="0"/>
        <w:rPr>
          <w:rFonts w:asciiTheme="minorHAnsi" w:hAnsiTheme="minorHAnsi" w:cstheme="minorHAnsi"/>
          <w:i/>
          <w:iCs/>
          <w:color w:val="7F7F7F" w:themeColor="text1" w:themeTint="80"/>
          <w:sz w:val="22"/>
          <w:szCs w:val="22"/>
        </w:rPr>
      </w:pPr>
      <w:r w:rsidRPr="001F0760">
        <w:rPr>
          <w:rFonts w:asciiTheme="minorHAnsi" w:hAnsiTheme="minorHAnsi" w:cstheme="minorHAnsi"/>
          <w:i/>
          <w:iCs/>
          <w:color w:val="7F7F7F" w:themeColor="text1" w:themeTint="80"/>
          <w:sz w:val="22"/>
          <w:szCs w:val="22"/>
        </w:rPr>
        <w:t>Consider the adequacy of the Human Health Risk Assessment and the proposed mitigation measures for emissions of respirable crystalline silica in the workplace and in the surrounding community.</w:t>
      </w:r>
    </w:p>
    <w:p w14:paraId="28245D4B" w14:textId="77777777" w:rsidR="001F0760" w:rsidRPr="001F0760" w:rsidRDefault="001F0760" w:rsidP="00A211FE">
      <w:pPr>
        <w:spacing w:after="0"/>
        <w:ind w:left="709"/>
        <w:jc w:val="both"/>
        <w:rPr>
          <w:rFonts w:cstheme="minorHAnsi"/>
          <w:i/>
          <w:iCs/>
        </w:rPr>
      </w:pPr>
    </w:p>
    <w:p w14:paraId="1E8C6540" w14:textId="396A2643" w:rsidR="000C1802" w:rsidRDefault="000C1802" w:rsidP="00A211FE">
      <w:pPr>
        <w:spacing w:after="0"/>
        <w:ind w:left="709"/>
        <w:jc w:val="both"/>
        <w:rPr>
          <w:rFonts w:cstheme="minorHAnsi"/>
          <w:i/>
          <w:iCs/>
        </w:rPr>
      </w:pPr>
      <w:r w:rsidRPr="001F0760">
        <w:rPr>
          <w:rFonts w:cstheme="minorHAnsi"/>
          <w:i/>
          <w:iCs/>
        </w:rPr>
        <w:t xml:space="preserve">Our review finds that the HHRA adequately considers the risks and correctly applies the information from the AQIA. We have also reviewed the AQIA and find that it also adequately represents the potential dust levels. The HHRA assumes that 100% of the dust is crystalline silica, which is conservative and is an overestimate of any actual crystalline silica levels and the assessed risks. </w:t>
      </w:r>
    </w:p>
    <w:p w14:paraId="384A97E1" w14:textId="77777777" w:rsidR="001F0760" w:rsidRPr="001F0760" w:rsidRDefault="001F0760" w:rsidP="00A211FE">
      <w:pPr>
        <w:spacing w:after="0"/>
        <w:ind w:left="709"/>
        <w:jc w:val="both"/>
        <w:rPr>
          <w:rFonts w:cstheme="minorHAnsi"/>
          <w:i/>
          <w:iCs/>
        </w:rPr>
      </w:pPr>
    </w:p>
    <w:p w14:paraId="0B14FBA8" w14:textId="161BCCC2" w:rsidR="000C1802" w:rsidRPr="001F0760" w:rsidRDefault="000C1802" w:rsidP="00A211FE">
      <w:pPr>
        <w:spacing w:after="0"/>
        <w:ind w:left="709"/>
        <w:jc w:val="both"/>
        <w:rPr>
          <w:rFonts w:cstheme="minorHAnsi"/>
          <w:i/>
          <w:iCs/>
        </w:rPr>
      </w:pPr>
      <w:r w:rsidRPr="001F0760">
        <w:rPr>
          <w:rFonts w:cstheme="minorHAnsi"/>
          <w:i/>
          <w:iCs/>
        </w:rPr>
        <w:t>In terms of proposed mitigation measures, the following is noted:</w:t>
      </w:r>
    </w:p>
    <w:p w14:paraId="438AEA88" w14:textId="77777777" w:rsidR="001F0760" w:rsidRPr="001F0760" w:rsidRDefault="001F0760" w:rsidP="00A211FE">
      <w:pPr>
        <w:spacing w:after="0"/>
        <w:ind w:left="709"/>
        <w:jc w:val="both"/>
        <w:rPr>
          <w:rFonts w:cstheme="minorHAnsi"/>
          <w:i/>
          <w:iCs/>
        </w:rPr>
      </w:pPr>
    </w:p>
    <w:p w14:paraId="3F07005F" w14:textId="6329E65D" w:rsidR="000C1802" w:rsidRPr="001F0760" w:rsidRDefault="000C1802" w:rsidP="00A211FE">
      <w:pPr>
        <w:spacing w:after="0"/>
        <w:ind w:left="709"/>
        <w:jc w:val="both"/>
        <w:rPr>
          <w:rFonts w:cstheme="minorHAnsi"/>
          <w:i/>
          <w:iCs/>
          <w:u w:val="single"/>
        </w:rPr>
      </w:pPr>
      <w:r w:rsidRPr="001F0760">
        <w:rPr>
          <w:rFonts w:cstheme="minorHAnsi"/>
          <w:i/>
          <w:iCs/>
          <w:u w:val="single"/>
        </w:rPr>
        <w:t>Environmental (community) mitigation measures.</w:t>
      </w:r>
    </w:p>
    <w:p w14:paraId="123B75F9" w14:textId="77777777" w:rsidR="001F0760" w:rsidRPr="001F0760" w:rsidRDefault="001F0760" w:rsidP="00A211FE">
      <w:pPr>
        <w:spacing w:after="0"/>
        <w:ind w:left="709"/>
        <w:jc w:val="both"/>
        <w:rPr>
          <w:rFonts w:cstheme="minorHAnsi"/>
          <w:i/>
          <w:iCs/>
          <w:u w:val="single"/>
        </w:rPr>
      </w:pPr>
    </w:p>
    <w:p w14:paraId="0AA61A07" w14:textId="7E7883AE" w:rsidR="000C1802" w:rsidRPr="001F0760" w:rsidRDefault="000C1802" w:rsidP="00A211FE">
      <w:pPr>
        <w:spacing w:after="0"/>
        <w:ind w:left="709"/>
        <w:jc w:val="both"/>
        <w:rPr>
          <w:rFonts w:cstheme="minorHAnsi"/>
          <w:i/>
          <w:iCs/>
        </w:rPr>
      </w:pPr>
      <w:r w:rsidRPr="001F0760">
        <w:rPr>
          <w:rFonts w:cstheme="minorHAnsi"/>
          <w:i/>
          <w:iCs/>
        </w:rPr>
        <w:t xml:space="preserve">The AQIA sets out specific dust control measures that will be used at the quarry, as listed in </w:t>
      </w:r>
      <w:r w:rsidRPr="001F0760">
        <w:rPr>
          <w:rFonts w:cstheme="minorHAnsi"/>
          <w:b/>
          <w:bCs/>
          <w:i/>
          <w:iCs/>
        </w:rPr>
        <w:t>Section</w:t>
      </w:r>
      <w:r w:rsidR="00D327CA">
        <w:rPr>
          <w:rFonts w:cstheme="minorHAnsi"/>
          <w:b/>
          <w:bCs/>
          <w:i/>
          <w:iCs/>
        </w:rPr>
        <w:t xml:space="preserve"> 4 </w:t>
      </w:r>
      <w:r w:rsidRPr="001F0760">
        <w:rPr>
          <w:rFonts w:cstheme="minorHAnsi"/>
          <w:i/>
          <w:iCs/>
        </w:rPr>
        <w:t xml:space="preserve">of this report and as proposed in the HHRA and AQIA. These measures should be implemented to minimise dust generated at the site as may then disperse into the surrounding environment where the community reside. </w:t>
      </w:r>
    </w:p>
    <w:p w14:paraId="6C337B98" w14:textId="77777777" w:rsidR="001F0760" w:rsidRPr="001F0760" w:rsidRDefault="001F0760" w:rsidP="00A211FE">
      <w:pPr>
        <w:spacing w:after="0"/>
        <w:ind w:left="709"/>
        <w:jc w:val="both"/>
        <w:rPr>
          <w:rFonts w:cstheme="minorHAnsi"/>
          <w:i/>
          <w:iCs/>
        </w:rPr>
      </w:pPr>
    </w:p>
    <w:p w14:paraId="21412608" w14:textId="0E1968CA" w:rsidR="000C1802" w:rsidRPr="001F0760" w:rsidRDefault="000C1802" w:rsidP="00A211FE">
      <w:pPr>
        <w:spacing w:after="0"/>
        <w:ind w:left="709"/>
        <w:jc w:val="both"/>
        <w:rPr>
          <w:rFonts w:cstheme="minorHAnsi"/>
          <w:i/>
          <w:iCs/>
        </w:rPr>
      </w:pPr>
      <w:r w:rsidRPr="001F0760">
        <w:rPr>
          <w:rFonts w:cstheme="minorHAnsi"/>
          <w:i/>
          <w:iCs/>
        </w:rPr>
        <w:t>The relevant proposed mitigation measures are listed below, but have been adapted to a form suitable to be included as part of any approval conditions for the quarry:</w:t>
      </w:r>
    </w:p>
    <w:p w14:paraId="7FD5B684" w14:textId="77777777" w:rsidR="001F0760" w:rsidRPr="001F0760" w:rsidRDefault="001F0760" w:rsidP="00A211FE">
      <w:pPr>
        <w:spacing w:after="0"/>
        <w:ind w:left="709"/>
        <w:jc w:val="both"/>
        <w:rPr>
          <w:rFonts w:cstheme="minorHAnsi"/>
          <w:i/>
          <w:iCs/>
        </w:rPr>
      </w:pPr>
    </w:p>
    <w:p w14:paraId="12AB554C" w14:textId="0089AC12"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Dust collection equipment on drill rigs that prevent the release of 90% or more of the dust generated from drilling must be installed on the drill </w:t>
      </w:r>
      <w:proofErr w:type="gramStart"/>
      <w:r w:rsidRPr="001F0760">
        <w:rPr>
          <w:rFonts w:asciiTheme="minorHAnsi" w:hAnsiTheme="minorHAnsi" w:cstheme="minorHAnsi"/>
          <w:i/>
          <w:iCs/>
          <w:sz w:val="22"/>
        </w:rPr>
        <w:t>rigs, and</w:t>
      </w:r>
      <w:proofErr w:type="gramEnd"/>
      <w:r w:rsidRPr="001F0760">
        <w:rPr>
          <w:rFonts w:asciiTheme="minorHAnsi" w:hAnsiTheme="minorHAnsi" w:cstheme="minorHAnsi"/>
          <w:i/>
          <w:iCs/>
          <w:sz w:val="22"/>
        </w:rPr>
        <w:t xml:space="preserve"> must be used when drilling.</w:t>
      </w:r>
    </w:p>
    <w:p w14:paraId="51F3FD41"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The quarry access road is to be sealed with bitumen for at least 600m from the intersection with the Mount Lindesay Road. </w:t>
      </w:r>
    </w:p>
    <w:p w14:paraId="18478CBE"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A maximum speed of 30km/hr must be observed for heavy vehicles travelling on the quarry access road, and a maximum speed of 10km/hr when travelling on any unpaved roads. </w:t>
      </w:r>
    </w:p>
    <w:p w14:paraId="0BEF1E9B"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Water sprays must be used when crushing - and be suitable to achieve at least 77% control relative to not using water sprays.</w:t>
      </w:r>
    </w:p>
    <w:p w14:paraId="6F75E205"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Water sprays must also be used when screening – and be suitable to achieve at least 91.2% control relative to not using water sprays.</w:t>
      </w:r>
    </w:p>
    <w:p w14:paraId="186CBF1F"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Water sprays must be used on transfer points – and be suitable to achieve at least 91.2% control relative to not using water sprays.</w:t>
      </w:r>
    </w:p>
    <w:p w14:paraId="1EECD1EB"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As a minimum, Level 1 watering (which means applying 1 litre of water per square metre of road surface) must be used on any dry or visibly dusty unpaved haul roads when in use - and be suitable to achieve at least 50% control relative to not watering.</w:t>
      </w:r>
    </w:p>
    <w:p w14:paraId="7E3DED0C"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Provided that they are at least as effective or more effective, alternative dust controls may be used with written approval from the EPA, as documented in any Environmental Protection Licence (EPL).</w:t>
      </w:r>
    </w:p>
    <w:p w14:paraId="28BBECE8"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Additional controls, over and above those listed here or in the EPL, may be used at any time. </w:t>
      </w:r>
    </w:p>
    <w:p w14:paraId="19FDA63C" w14:textId="77777777" w:rsidR="001F0760" w:rsidRPr="001F0760" w:rsidRDefault="001F0760" w:rsidP="00A211FE">
      <w:pPr>
        <w:spacing w:after="0"/>
        <w:ind w:left="709"/>
        <w:jc w:val="both"/>
        <w:rPr>
          <w:rFonts w:cstheme="minorHAnsi"/>
          <w:i/>
          <w:iCs/>
          <w:u w:val="single"/>
        </w:rPr>
      </w:pPr>
    </w:p>
    <w:p w14:paraId="4C7C4A63" w14:textId="32DF1D78" w:rsidR="000C1802" w:rsidRPr="001F0760" w:rsidRDefault="000C1802" w:rsidP="00A211FE">
      <w:pPr>
        <w:spacing w:after="0"/>
        <w:ind w:left="709"/>
        <w:jc w:val="both"/>
        <w:rPr>
          <w:rFonts w:cstheme="minorHAnsi"/>
          <w:i/>
          <w:iCs/>
          <w:u w:val="single"/>
        </w:rPr>
      </w:pPr>
      <w:r w:rsidRPr="001F0760">
        <w:rPr>
          <w:rFonts w:cstheme="minorHAnsi"/>
          <w:i/>
          <w:iCs/>
          <w:u w:val="single"/>
        </w:rPr>
        <w:t>Occupational (worker) mitigation measures</w:t>
      </w:r>
    </w:p>
    <w:p w14:paraId="347A5DFC" w14:textId="77777777" w:rsidR="001F0760" w:rsidRPr="001F0760" w:rsidRDefault="001F0760" w:rsidP="00A211FE">
      <w:pPr>
        <w:spacing w:after="0"/>
        <w:ind w:left="709"/>
        <w:jc w:val="both"/>
        <w:rPr>
          <w:rFonts w:cstheme="minorHAnsi"/>
          <w:i/>
          <w:iCs/>
          <w:u w:val="single"/>
        </w:rPr>
      </w:pPr>
    </w:p>
    <w:p w14:paraId="573E8417" w14:textId="55745AC5" w:rsidR="000C1802" w:rsidRPr="001F0760" w:rsidRDefault="000C1802" w:rsidP="00A211FE">
      <w:pPr>
        <w:spacing w:after="0"/>
        <w:ind w:left="709"/>
        <w:jc w:val="both"/>
        <w:rPr>
          <w:rFonts w:cstheme="minorHAnsi"/>
          <w:i/>
          <w:iCs/>
        </w:rPr>
      </w:pPr>
      <w:r w:rsidRPr="001F0760">
        <w:rPr>
          <w:rFonts w:cstheme="minorHAnsi"/>
          <w:i/>
          <w:iCs/>
        </w:rPr>
        <w:t xml:space="preserve">The HHRA identifies that maintenance staff at the quarry would wear personal protective equipment (PPE) including personally fitted masks (P2 type).  </w:t>
      </w:r>
    </w:p>
    <w:p w14:paraId="6BCB29AE" w14:textId="77777777" w:rsidR="001F0760" w:rsidRPr="001F0760" w:rsidRDefault="001F0760" w:rsidP="00A211FE">
      <w:pPr>
        <w:spacing w:after="0"/>
        <w:ind w:left="709"/>
        <w:jc w:val="both"/>
        <w:rPr>
          <w:rFonts w:cstheme="minorHAnsi"/>
          <w:i/>
          <w:iCs/>
        </w:rPr>
      </w:pPr>
    </w:p>
    <w:p w14:paraId="145E552D" w14:textId="77777777" w:rsidR="000C1802" w:rsidRPr="001F0760" w:rsidRDefault="000C1802" w:rsidP="00A211FE">
      <w:pPr>
        <w:pStyle w:val="ListParagraph"/>
        <w:numPr>
          <w:ilvl w:val="0"/>
          <w:numId w:val="25"/>
        </w:numPr>
        <w:spacing w:line="276" w:lineRule="auto"/>
        <w:ind w:left="709"/>
        <w:contextualSpacing w:val="0"/>
        <w:rPr>
          <w:rFonts w:asciiTheme="minorHAnsi" w:hAnsiTheme="minorHAnsi" w:cstheme="minorHAnsi"/>
          <w:i/>
          <w:iCs/>
          <w:color w:val="7F7F7F" w:themeColor="text1" w:themeTint="80"/>
          <w:sz w:val="22"/>
          <w:szCs w:val="22"/>
        </w:rPr>
      </w:pPr>
      <w:r w:rsidRPr="001F0760">
        <w:rPr>
          <w:rFonts w:asciiTheme="minorHAnsi" w:hAnsiTheme="minorHAnsi" w:cstheme="minorHAnsi"/>
          <w:i/>
          <w:iCs/>
          <w:color w:val="7F7F7F" w:themeColor="text1" w:themeTint="80"/>
          <w:sz w:val="22"/>
          <w:szCs w:val="22"/>
        </w:rPr>
        <w:t>Identify any gaps in the documentation, analysis, assessment and recommendations.</w:t>
      </w:r>
    </w:p>
    <w:p w14:paraId="79D50440" w14:textId="77777777" w:rsidR="001F0760" w:rsidRPr="001F0760" w:rsidRDefault="001F0760" w:rsidP="00A211FE">
      <w:pPr>
        <w:spacing w:after="0"/>
        <w:ind w:left="709"/>
        <w:jc w:val="both"/>
        <w:rPr>
          <w:rFonts w:cstheme="minorHAnsi"/>
          <w:i/>
          <w:iCs/>
        </w:rPr>
      </w:pPr>
    </w:p>
    <w:p w14:paraId="01F66BA1" w14:textId="7C111424" w:rsidR="000C1802" w:rsidRPr="001F0760" w:rsidRDefault="000C1802" w:rsidP="00A211FE">
      <w:pPr>
        <w:spacing w:after="0"/>
        <w:ind w:left="709"/>
        <w:jc w:val="both"/>
        <w:rPr>
          <w:rFonts w:cstheme="minorHAnsi"/>
          <w:i/>
          <w:iCs/>
        </w:rPr>
      </w:pPr>
      <w:r w:rsidRPr="001F0760">
        <w:rPr>
          <w:rFonts w:cstheme="minorHAnsi"/>
          <w:i/>
          <w:iCs/>
        </w:rPr>
        <w:t>No gaps are identified in the AQIA, HHRA or in their assessment and analysis. However, some gaps are identified in the documented/ recommended worker mitigation measures and for blasting. These are set out the next section as recommended additional mitigation measures.</w:t>
      </w:r>
    </w:p>
    <w:p w14:paraId="363EA3E3" w14:textId="77777777" w:rsidR="001F0760" w:rsidRPr="001F0760" w:rsidRDefault="001F0760" w:rsidP="00A211FE">
      <w:pPr>
        <w:spacing w:after="0"/>
        <w:ind w:left="709"/>
        <w:jc w:val="both"/>
        <w:rPr>
          <w:rFonts w:cstheme="minorHAnsi"/>
          <w:i/>
          <w:iCs/>
        </w:rPr>
      </w:pPr>
    </w:p>
    <w:p w14:paraId="658BAF84" w14:textId="77777777" w:rsidR="000C1802" w:rsidRPr="001F0760" w:rsidRDefault="000C1802" w:rsidP="00A211FE">
      <w:pPr>
        <w:pStyle w:val="ListParagraph"/>
        <w:numPr>
          <w:ilvl w:val="0"/>
          <w:numId w:val="25"/>
        </w:numPr>
        <w:spacing w:line="276" w:lineRule="auto"/>
        <w:ind w:left="709"/>
        <w:contextualSpacing w:val="0"/>
        <w:rPr>
          <w:rFonts w:asciiTheme="minorHAnsi" w:hAnsiTheme="minorHAnsi" w:cstheme="minorHAnsi"/>
          <w:i/>
          <w:iCs/>
          <w:color w:val="7F7F7F" w:themeColor="text1" w:themeTint="80"/>
          <w:sz w:val="22"/>
          <w:szCs w:val="22"/>
        </w:rPr>
      </w:pPr>
      <w:r w:rsidRPr="001F0760">
        <w:rPr>
          <w:rFonts w:asciiTheme="minorHAnsi" w:hAnsiTheme="minorHAnsi" w:cstheme="minorHAnsi"/>
          <w:i/>
          <w:iCs/>
          <w:color w:val="7F7F7F" w:themeColor="text1" w:themeTint="80"/>
          <w:sz w:val="22"/>
          <w:szCs w:val="22"/>
        </w:rPr>
        <w:t xml:space="preserve">Propose any other measures that could reasonably be applied to manage and mitigate the emission of respirable crystalline silica. </w:t>
      </w:r>
    </w:p>
    <w:p w14:paraId="60EEB625" w14:textId="77777777" w:rsidR="001F0760" w:rsidRPr="001F0760" w:rsidRDefault="001F0760" w:rsidP="00A211FE">
      <w:pPr>
        <w:spacing w:after="0"/>
        <w:ind w:left="709"/>
        <w:jc w:val="both"/>
        <w:rPr>
          <w:rFonts w:cstheme="minorHAnsi"/>
          <w:i/>
          <w:iCs/>
        </w:rPr>
      </w:pPr>
    </w:p>
    <w:p w14:paraId="3AD9455B" w14:textId="40CEA54C" w:rsidR="000C1802" w:rsidRPr="001F0760" w:rsidRDefault="000C1802" w:rsidP="00A211FE">
      <w:pPr>
        <w:spacing w:after="0"/>
        <w:ind w:left="709"/>
        <w:jc w:val="both"/>
        <w:rPr>
          <w:rFonts w:cstheme="minorHAnsi"/>
          <w:i/>
          <w:iCs/>
        </w:rPr>
      </w:pPr>
      <w:r w:rsidRPr="001F0760">
        <w:rPr>
          <w:rFonts w:cstheme="minorHAnsi"/>
          <w:i/>
          <w:iCs/>
        </w:rPr>
        <w:t xml:space="preserve">It is recommended that the following additional mitigation measures be applied at some parts of the Project to better protect workers. It is noted that many of these measures may already be done, but this was not documented. </w:t>
      </w:r>
    </w:p>
    <w:p w14:paraId="52A8381D" w14:textId="77777777" w:rsidR="001F0760" w:rsidRPr="001F0760" w:rsidRDefault="001F0760" w:rsidP="00A211FE">
      <w:pPr>
        <w:spacing w:after="0"/>
        <w:ind w:left="709"/>
        <w:jc w:val="both"/>
        <w:rPr>
          <w:rFonts w:cstheme="minorHAnsi"/>
          <w:i/>
          <w:iCs/>
        </w:rPr>
      </w:pPr>
    </w:p>
    <w:p w14:paraId="3C467BD7"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All drill rigs, and any mobile plant that handles or transports silica containing materials is to have an air-tight cabin with air filtration (and air conditioning so that there is no need to open any window). The cabin air filtration must use HEPA rated filters.</w:t>
      </w:r>
    </w:p>
    <w:p w14:paraId="7709C164"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All cabins with HEPA filtration must be cleaned at least weekly, along with the mating cabin and rubber seal surfaces for doors (and openable windows if applicable), which must be inspected weekly to ensure an air-tight fit.  Wiping with damp microfibre towel is adequate. </w:t>
      </w:r>
    </w:p>
    <w:p w14:paraId="4C4D14CF"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For drill rigs, cabins and door and window seals must be cleaned, and door and window seals inspected for leaks and deterioration at the end of each shift. Wiping with damp microfibre towel is adequate. The drill rig cabin interior must be kept free of dust, and the door and window seals must be </w:t>
      </w:r>
      <w:proofErr w:type="gramStart"/>
      <w:r w:rsidRPr="001F0760">
        <w:rPr>
          <w:rFonts w:asciiTheme="minorHAnsi" w:hAnsiTheme="minorHAnsi" w:cstheme="minorHAnsi"/>
          <w:i/>
          <w:iCs/>
          <w:sz w:val="22"/>
        </w:rPr>
        <w:t>air-tight</w:t>
      </w:r>
      <w:proofErr w:type="gramEnd"/>
      <w:r w:rsidRPr="001F0760">
        <w:rPr>
          <w:rFonts w:asciiTheme="minorHAnsi" w:hAnsiTheme="minorHAnsi" w:cstheme="minorHAnsi"/>
          <w:i/>
          <w:iCs/>
          <w:sz w:val="22"/>
        </w:rPr>
        <w:t xml:space="preserve">. </w:t>
      </w:r>
    </w:p>
    <w:p w14:paraId="4424303A"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 xml:space="preserve">A spare set of door seal rubbers must be kept on hand for any site owned drill rigs and installed immediately if any break is found during a daily inspection. Contractors must not use drill rigs with ineffective, </w:t>
      </w:r>
      <w:proofErr w:type="spellStart"/>
      <w:proofErr w:type="gramStart"/>
      <w:r w:rsidRPr="001F0760">
        <w:rPr>
          <w:rFonts w:asciiTheme="minorHAnsi" w:hAnsiTheme="minorHAnsi" w:cstheme="minorHAnsi"/>
          <w:i/>
          <w:iCs/>
          <w:sz w:val="22"/>
        </w:rPr>
        <w:t>non air</w:t>
      </w:r>
      <w:proofErr w:type="spellEnd"/>
      <w:proofErr w:type="gramEnd"/>
      <w:r w:rsidRPr="001F0760">
        <w:rPr>
          <w:rFonts w:asciiTheme="minorHAnsi" w:hAnsiTheme="minorHAnsi" w:cstheme="minorHAnsi"/>
          <w:i/>
          <w:iCs/>
          <w:sz w:val="22"/>
        </w:rPr>
        <w:t xml:space="preserve">-tight door or window seals at any time. </w:t>
      </w:r>
    </w:p>
    <w:p w14:paraId="3B5AF18B"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All HEPA cabin filters must be inspected and replaced as per manufacturer’s recommendations. This is especially important for the drill rigs.</w:t>
      </w:r>
    </w:p>
    <w:p w14:paraId="2AF13E7C" w14:textId="77777777" w:rsidR="000C1802" w:rsidRPr="001F0760" w:rsidRDefault="000C1802" w:rsidP="00A211FE">
      <w:pPr>
        <w:pStyle w:val="TASStar"/>
        <w:spacing w:after="0"/>
        <w:ind w:left="709"/>
        <w:rPr>
          <w:rFonts w:asciiTheme="minorHAnsi" w:hAnsiTheme="minorHAnsi" w:cstheme="minorHAnsi"/>
          <w:i/>
          <w:iCs/>
          <w:sz w:val="22"/>
        </w:rPr>
      </w:pPr>
      <w:proofErr w:type="gramStart"/>
      <w:r w:rsidRPr="001F0760">
        <w:rPr>
          <w:rFonts w:asciiTheme="minorHAnsi" w:hAnsiTheme="minorHAnsi" w:cstheme="minorHAnsi"/>
          <w:i/>
          <w:iCs/>
          <w:sz w:val="22"/>
        </w:rPr>
        <w:t>Personally</w:t>
      </w:r>
      <w:proofErr w:type="gramEnd"/>
      <w:r w:rsidRPr="001F0760">
        <w:rPr>
          <w:rFonts w:asciiTheme="minorHAnsi" w:hAnsiTheme="minorHAnsi" w:cstheme="minorHAnsi"/>
          <w:i/>
          <w:iCs/>
          <w:sz w:val="22"/>
        </w:rPr>
        <w:t xml:space="preserve"> fitted masks (P2 type) must be worn outdoors within 100m of any drill rig when drilling or the crusher when it is operating. </w:t>
      </w:r>
    </w:p>
    <w:p w14:paraId="5E744810" w14:textId="77777777" w:rsidR="001F0760" w:rsidRPr="001F0760" w:rsidRDefault="001F0760" w:rsidP="00A211FE">
      <w:pPr>
        <w:pStyle w:val="TASStar"/>
        <w:numPr>
          <w:ilvl w:val="0"/>
          <w:numId w:val="0"/>
        </w:numPr>
        <w:spacing w:after="0"/>
        <w:ind w:left="709"/>
        <w:rPr>
          <w:rFonts w:asciiTheme="minorHAnsi" w:hAnsiTheme="minorHAnsi" w:cstheme="minorHAnsi"/>
          <w:i/>
          <w:iCs/>
          <w:sz w:val="22"/>
        </w:rPr>
      </w:pPr>
    </w:p>
    <w:p w14:paraId="03F6DE7D" w14:textId="25DD2067" w:rsidR="000C1802" w:rsidRPr="001F0760" w:rsidRDefault="000C1802" w:rsidP="00A211FE">
      <w:pPr>
        <w:pStyle w:val="TASStar"/>
        <w:numPr>
          <w:ilvl w:val="0"/>
          <w:numId w:val="0"/>
        </w:numPr>
        <w:spacing w:after="0"/>
        <w:ind w:left="709"/>
        <w:rPr>
          <w:rFonts w:asciiTheme="minorHAnsi" w:hAnsiTheme="minorHAnsi" w:cstheme="minorHAnsi"/>
          <w:i/>
          <w:iCs/>
          <w:sz w:val="22"/>
        </w:rPr>
      </w:pPr>
      <w:r w:rsidRPr="001F0760">
        <w:rPr>
          <w:rFonts w:asciiTheme="minorHAnsi" w:hAnsiTheme="minorHAnsi" w:cstheme="minorHAnsi"/>
          <w:i/>
          <w:iCs/>
          <w:sz w:val="22"/>
        </w:rPr>
        <w:t>It is recommended that the following additional mitigation measures be applied for blasting at the Project to better protect workers and the environment</w:t>
      </w:r>
      <w:r w:rsidR="001F0760" w:rsidRPr="001F0760">
        <w:rPr>
          <w:rFonts w:asciiTheme="minorHAnsi" w:hAnsiTheme="minorHAnsi" w:cstheme="minorHAnsi"/>
          <w:i/>
          <w:iCs/>
          <w:sz w:val="22"/>
        </w:rPr>
        <w:t>:</w:t>
      </w:r>
    </w:p>
    <w:p w14:paraId="2F30D57A" w14:textId="77777777" w:rsidR="001F0760" w:rsidRPr="001F0760" w:rsidRDefault="001F0760" w:rsidP="00A211FE">
      <w:pPr>
        <w:pStyle w:val="TASStar"/>
        <w:numPr>
          <w:ilvl w:val="0"/>
          <w:numId w:val="0"/>
        </w:numPr>
        <w:spacing w:after="0"/>
        <w:ind w:left="709"/>
        <w:rPr>
          <w:rFonts w:asciiTheme="minorHAnsi" w:hAnsiTheme="minorHAnsi" w:cstheme="minorHAnsi"/>
          <w:i/>
          <w:iCs/>
          <w:sz w:val="22"/>
        </w:rPr>
      </w:pPr>
    </w:p>
    <w:p w14:paraId="30C200CE" w14:textId="77777777" w:rsidR="000C1802" w:rsidRPr="001F0760" w:rsidRDefault="000C1802" w:rsidP="00A211FE">
      <w:pPr>
        <w:pStyle w:val="TASStar"/>
        <w:spacing w:after="0"/>
        <w:ind w:left="709"/>
        <w:rPr>
          <w:rFonts w:asciiTheme="minorHAnsi" w:hAnsiTheme="minorHAnsi" w:cstheme="minorHAnsi"/>
          <w:i/>
          <w:iCs/>
          <w:sz w:val="22"/>
        </w:rPr>
      </w:pPr>
      <w:r w:rsidRPr="001F0760">
        <w:rPr>
          <w:rFonts w:asciiTheme="minorHAnsi" w:hAnsiTheme="minorHAnsi" w:cstheme="minorHAnsi"/>
          <w:i/>
          <w:iCs/>
          <w:sz w:val="22"/>
        </w:rPr>
        <w:t>Wherever possible, blasting should be conducted between 10 am and 3 pm when the wind is not blowing towards any off-site dwelling. Blasting should be avoided when the 1-hour average wind speed is above 6m/s.</w:t>
      </w:r>
    </w:p>
    <w:p w14:paraId="64E32BDD" w14:textId="77777777" w:rsidR="000C1802" w:rsidRPr="000C1802" w:rsidRDefault="000C1802" w:rsidP="00A211FE">
      <w:pPr>
        <w:spacing w:after="0" w:line="240" w:lineRule="auto"/>
        <w:ind w:left="709"/>
        <w:jc w:val="both"/>
        <w:rPr>
          <w:rFonts w:cstheme="minorHAnsi"/>
        </w:rPr>
      </w:pPr>
    </w:p>
    <w:p w14:paraId="48CB0E7A" w14:textId="71BEBF3C" w:rsidR="005B0333" w:rsidRPr="001F0760" w:rsidRDefault="001F0760" w:rsidP="00F84D24">
      <w:pPr>
        <w:spacing w:after="0" w:line="240" w:lineRule="auto"/>
        <w:rPr>
          <w:rFonts w:cstheme="minorHAnsi"/>
          <w:u w:val="single"/>
        </w:rPr>
      </w:pPr>
      <w:r w:rsidRPr="001F0760">
        <w:rPr>
          <w:rFonts w:cstheme="minorHAnsi"/>
          <w:u w:val="single"/>
        </w:rPr>
        <w:t>Comment</w:t>
      </w:r>
    </w:p>
    <w:p w14:paraId="3DBB5D2E" w14:textId="57F27544" w:rsidR="001F0760" w:rsidRDefault="001F0760" w:rsidP="00A211FE">
      <w:pPr>
        <w:spacing w:after="0" w:line="240" w:lineRule="auto"/>
        <w:jc w:val="both"/>
        <w:rPr>
          <w:rFonts w:cstheme="minorHAnsi"/>
        </w:rPr>
      </w:pPr>
    </w:p>
    <w:p w14:paraId="3938FDBC" w14:textId="76064A98" w:rsidR="001F0760" w:rsidRPr="001F0760" w:rsidRDefault="001F0760" w:rsidP="00A211FE">
      <w:pPr>
        <w:spacing w:after="0"/>
        <w:jc w:val="both"/>
        <w:rPr>
          <w:rFonts w:cstheme="minorHAnsi"/>
          <w:i/>
          <w:iCs/>
        </w:rPr>
      </w:pPr>
      <w:r>
        <w:rPr>
          <w:rFonts w:cstheme="minorHAnsi"/>
          <w:i/>
          <w:iCs/>
        </w:rPr>
        <w:t>The review report</w:t>
      </w:r>
      <w:r w:rsidRPr="001F0760">
        <w:rPr>
          <w:rFonts w:cstheme="minorHAnsi"/>
          <w:i/>
          <w:iCs/>
        </w:rPr>
        <w:t xml:space="preserve"> found that the HHRA and the AQIA are adequate and conclude</w:t>
      </w:r>
      <w:r>
        <w:rPr>
          <w:rFonts w:cstheme="minorHAnsi"/>
          <w:i/>
          <w:iCs/>
        </w:rPr>
        <w:t>d</w:t>
      </w:r>
      <w:r w:rsidRPr="001F0760">
        <w:rPr>
          <w:rFonts w:cstheme="minorHAnsi"/>
          <w:i/>
          <w:iCs/>
        </w:rPr>
        <w:t xml:space="preserve"> that the Project would meet the relevant criteria, including for respirable crystalline silica, by a large margin. </w:t>
      </w:r>
    </w:p>
    <w:p w14:paraId="5A6AF56E" w14:textId="77777777" w:rsidR="001F0760" w:rsidRPr="001F0760" w:rsidRDefault="001F0760" w:rsidP="00A211FE">
      <w:pPr>
        <w:spacing w:after="0"/>
        <w:jc w:val="both"/>
        <w:rPr>
          <w:rFonts w:cstheme="minorHAnsi"/>
          <w:i/>
          <w:iCs/>
        </w:rPr>
      </w:pPr>
    </w:p>
    <w:p w14:paraId="54565886" w14:textId="3E58FEB7" w:rsidR="001F0760" w:rsidRPr="001F0760" w:rsidRDefault="001F0760" w:rsidP="00A211FE">
      <w:pPr>
        <w:spacing w:after="0"/>
        <w:jc w:val="both"/>
        <w:rPr>
          <w:rFonts w:cstheme="minorHAnsi"/>
          <w:i/>
          <w:iCs/>
        </w:rPr>
      </w:pPr>
      <w:r>
        <w:rPr>
          <w:rFonts w:cstheme="minorHAnsi"/>
          <w:i/>
          <w:iCs/>
        </w:rPr>
        <w:t>The report also</w:t>
      </w:r>
      <w:r w:rsidRPr="001F0760">
        <w:rPr>
          <w:rFonts w:cstheme="minorHAnsi"/>
          <w:i/>
          <w:iCs/>
        </w:rPr>
        <w:t xml:space="preserve"> found that there is no valid reason to not approve the quarry expansion as it is presently proposed, and </w:t>
      </w:r>
      <w:r>
        <w:rPr>
          <w:rFonts w:cstheme="minorHAnsi"/>
          <w:i/>
          <w:iCs/>
        </w:rPr>
        <w:t>the independent review</w:t>
      </w:r>
      <w:r w:rsidRPr="001F0760">
        <w:rPr>
          <w:rFonts w:cstheme="minorHAnsi"/>
          <w:i/>
          <w:iCs/>
        </w:rPr>
        <w:t xml:space="preserve"> recommend</w:t>
      </w:r>
      <w:r>
        <w:rPr>
          <w:rFonts w:cstheme="minorHAnsi"/>
          <w:i/>
          <w:iCs/>
        </w:rPr>
        <w:t>s</w:t>
      </w:r>
      <w:r w:rsidRPr="001F0760">
        <w:rPr>
          <w:rFonts w:cstheme="minorHAnsi"/>
          <w:i/>
          <w:iCs/>
        </w:rPr>
        <w:t xml:space="preserve"> that the Project </w:t>
      </w:r>
      <w:r>
        <w:rPr>
          <w:rFonts w:cstheme="minorHAnsi"/>
          <w:i/>
          <w:iCs/>
        </w:rPr>
        <w:t>be</w:t>
      </w:r>
      <w:r w:rsidRPr="001F0760">
        <w:rPr>
          <w:rFonts w:cstheme="minorHAnsi"/>
          <w:i/>
          <w:iCs/>
        </w:rPr>
        <w:t xml:space="preserve"> approved.</w:t>
      </w:r>
    </w:p>
    <w:p w14:paraId="0B899D74" w14:textId="77777777" w:rsidR="001F0760" w:rsidRDefault="001F0760" w:rsidP="00A211FE">
      <w:pPr>
        <w:spacing w:after="0" w:line="240" w:lineRule="auto"/>
        <w:jc w:val="both"/>
        <w:rPr>
          <w:rFonts w:cstheme="minorHAnsi"/>
        </w:rPr>
      </w:pPr>
    </w:p>
    <w:p w14:paraId="3C410C19" w14:textId="3F779D22" w:rsidR="001F0760" w:rsidRDefault="001F0760" w:rsidP="00A211FE">
      <w:pPr>
        <w:spacing w:after="0" w:line="240" w:lineRule="auto"/>
        <w:jc w:val="both"/>
        <w:rPr>
          <w:rFonts w:cstheme="minorHAnsi"/>
        </w:rPr>
      </w:pPr>
      <w:r>
        <w:rPr>
          <w:rFonts w:cstheme="minorHAnsi"/>
        </w:rPr>
        <w:t>The review report also recommended the inclusion of additional conditions of consent – these have been incorporated into the draft recommended conditions of consent</w:t>
      </w:r>
      <w:r w:rsidR="0089494B">
        <w:rPr>
          <w:rFonts w:cstheme="minorHAnsi"/>
        </w:rPr>
        <w:t xml:space="preserve"> as follows:</w:t>
      </w:r>
    </w:p>
    <w:p w14:paraId="5710B7E8" w14:textId="77777777" w:rsidR="0089494B" w:rsidRPr="0089494B" w:rsidRDefault="0089494B" w:rsidP="0089494B">
      <w:pPr>
        <w:spacing w:after="0" w:line="240" w:lineRule="auto"/>
        <w:rPr>
          <w:rFonts w:cstheme="minorHAnsi"/>
        </w:rPr>
      </w:pPr>
    </w:p>
    <w:p w14:paraId="376C130D" w14:textId="77777777" w:rsidR="0089494B" w:rsidRPr="0089494B" w:rsidRDefault="0089494B" w:rsidP="0089494B">
      <w:pPr>
        <w:pStyle w:val="ListParagraph"/>
        <w:numPr>
          <w:ilvl w:val="0"/>
          <w:numId w:val="27"/>
        </w:numPr>
        <w:autoSpaceDE w:val="0"/>
        <w:autoSpaceDN w:val="0"/>
        <w:ind w:right="134" w:hanging="820"/>
        <w:contextualSpacing w:val="0"/>
        <w:rPr>
          <w:rFonts w:asciiTheme="minorHAnsi" w:hAnsiTheme="minorHAnsi" w:cstheme="minorHAnsi"/>
          <w:sz w:val="22"/>
          <w:szCs w:val="22"/>
        </w:rPr>
      </w:pPr>
      <w:r w:rsidRPr="0089494B">
        <w:rPr>
          <w:rFonts w:asciiTheme="minorHAnsi" w:hAnsiTheme="minorHAnsi" w:cstheme="minorHAnsi"/>
          <w:sz w:val="22"/>
          <w:szCs w:val="22"/>
        </w:rPr>
        <w:t>The development shall be carried out in accordance with the details set out in the following,</w:t>
      </w:r>
      <w:r w:rsidRPr="0089494B">
        <w:rPr>
          <w:rFonts w:asciiTheme="minorHAnsi" w:hAnsiTheme="minorHAnsi" w:cstheme="minorHAnsi"/>
          <w:spacing w:val="-7"/>
          <w:sz w:val="22"/>
          <w:szCs w:val="22"/>
        </w:rPr>
        <w:t xml:space="preserve"> </w:t>
      </w:r>
      <w:r w:rsidRPr="0089494B">
        <w:rPr>
          <w:rFonts w:asciiTheme="minorHAnsi" w:hAnsiTheme="minorHAnsi" w:cstheme="minorHAnsi"/>
          <w:sz w:val="22"/>
          <w:szCs w:val="22"/>
        </w:rPr>
        <w:t>except</w:t>
      </w:r>
      <w:r w:rsidRPr="0089494B">
        <w:rPr>
          <w:rFonts w:asciiTheme="minorHAnsi" w:hAnsiTheme="minorHAnsi" w:cstheme="minorHAnsi"/>
          <w:spacing w:val="-6"/>
          <w:sz w:val="22"/>
          <w:szCs w:val="22"/>
        </w:rPr>
        <w:t xml:space="preserve"> </w:t>
      </w:r>
      <w:proofErr w:type="gramStart"/>
      <w:r w:rsidRPr="0089494B">
        <w:rPr>
          <w:rFonts w:asciiTheme="minorHAnsi" w:hAnsiTheme="minorHAnsi" w:cstheme="minorHAnsi"/>
          <w:sz w:val="22"/>
          <w:szCs w:val="22"/>
        </w:rPr>
        <w:t>where</w:t>
      </w:r>
      <w:proofErr w:type="gramEnd"/>
      <w:r w:rsidRPr="0089494B">
        <w:rPr>
          <w:rFonts w:asciiTheme="minorHAnsi" w:hAnsiTheme="minorHAnsi" w:cstheme="minorHAnsi"/>
          <w:spacing w:val="-7"/>
          <w:sz w:val="22"/>
          <w:szCs w:val="22"/>
        </w:rPr>
        <w:t xml:space="preserve"> </w:t>
      </w:r>
      <w:r w:rsidRPr="0089494B">
        <w:rPr>
          <w:rFonts w:asciiTheme="minorHAnsi" w:hAnsiTheme="minorHAnsi" w:cstheme="minorHAnsi"/>
          <w:sz w:val="22"/>
          <w:szCs w:val="22"/>
        </w:rPr>
        <w:t>modified</w:t>
      </w:r>
      <w:r w:rsidRPr="0089494B">
        <w:rPr>
          <w:rFonts w:asciiTheme="minorHAnsi" w:hAnsiTheme="minorHAnsi" w:cstheme="minorHAnsi"/>
          <w:spacing w:val="-6"/>
          <w:sz w:val="22"/>
          <w:szCs w:val="22"/>
        </w:rPr>
        <w:t xml:space="preserve"> </w:t>
      </w:r>
      <w:r w:rsidRPr="0089494B">
        <w:rPr>
          <w:rFonts w:asciiTheme="minorHAnsi" w:hAnsiTheme="minorHAnsi" w:cstheme="minorHAnsi"/>
          <w:sz w:val="22"/>
          <w:szCs w:val="22"/>
        </w:rPr>
        <w:t>by</w:t>
      </w:r>
      <w:r w:rsidRPr="0089494B">
        <w:rPr>
          <w:rFonts w:asciiTheme="minorHAnsi" w:hAnsiTheme="minorHAnsi" w:cstheme="minorHAnsi"/>
          <w:spacing w:val="-8"/>
          <w:sz w:val="22"/>
          <w:szCs w:val="22"/>
        </w:rPr>
        <w:t xml:space="preserve"> </w:t>
      </w:r>
      <w:r w:rsidRPr="0089494B">
        <w:rPr>
          <w:rFonts w:asciiTheme="minorHAnsi" w:hAnsiTheme="minorHAnsi" w:cstheme="minorHAnsi"/>
          <w:sz w:val="22"/>
          <w:szCs w:val="22"/>
        </w:rPr>
        <w:t>any</w:t>
      </w:r>
      <w:r w:rsidRPr="0089494B">
        <w:rPr>
          <w:rFonts w:asciiTheme="minorHAnsi" w:hAnsiTheme="minorHAnsi" w:cstheme="minorHAnsi"/>
          <w:spacing w:val="-5"/>
          <w:sz w:val="22"/>
          <w:szCs w:val="22"/>
        </w:rPr>
        <w:t xml:space="preserve"> </w:t>
      </w:r>
      <w:r w:rsidRPr="0089494B">
        <w:rPr>
          <w:rFonts w:asciiTheme="minorHAnsi" w:hAnsiTheme="minorHAnsi" w:cstheme="minorHAnsi"/>
          <w:sz w:val="22"/>
          <w:szCs w:val="22"/>
        </w:rPr>
        <w:t>conditions</w:t>
      </w:r>
      <w:r w:rsidRPr="0089494B">
        <w:rPr>
          <w:rFonts w:asciiTheme="minorHAnsi" w:hAnsiTheme="minorHAnsi" w:cstheme="minorHAnsi"/>
          <w:spacing w:val="-8"/>
          <w:sz w:val="22"/>
          <w:szCs w:val="22"/>
        </w:rPr>
        <w:t xml:space="preserve"> </w:t>
      </w:r>
      <w:r w:rsidRPr="0089494B">
        <w:rPr>
          <w:rFonts w:asciiTheme="minorHAnsi" w:hAnsiTheme="minorHAnsi" w:cstheme="minorHAnsi"/>
          <w:sz w:val="22"/>
          <w:szCs w:val="22"/>
        </w:rPr>
        <w:t>of</w:t>
      </w:r>
      <w:r w:rsidRPr="0089494B">
        <w:rPr>
          <w:rFonts w:asciiTheme="minorHAnsi" w:hAnsiTheme="minorHAnsi" w:cstheme="minorHAnsi"/>
          <w:spacing w:val="-4"/>
          <w:sz w:val="22"/>
          <w:szCs w:val="22"/>
        </w:rPr>
        <w:t xml:space="preserve"> </w:t>
      </w:r>
      <w:r w:rsidRPr="0089494B">
        <w:rPr>
          <w:rFonts w:asciiTheme="minorHAnsi" w:hAnsiTheme="minorHAnsi" w:cstheme="minorHAnsi"/>
          <w:sz w:val="22"/>
          <w:szCs w:val="22"/>
        </w:rPr>
        <w:t>development</w:t>
      </w:r>
      <w:r w:rsidRPr="0089494B">
        <w:rPr>
          <w:rFonts w:asciiTheme="minorHAnsi" w:hAnsiTheme="minorHAnsi" w:cstheme="minorHAnsi"/>
          <w:spacing w:val="-4"/>
          <w:sz w:val="22"/>
          <w:szCs w:val="22"/>
        </w:rPr>
        <w:t xml:space="preserve"> </w:t>
      </w:r>
      <w:r w:rsidRPr="0089494B">
        <w:rPr>
          <w:rFonts w:asciiTheme="minorHAnsi" w:hAnsiTheme="minorHAnsi" w:cstheme="minorHAnsi"/>
          <w:sz w:val="22"/>
          <w:szCs w:val="22"/>
        </w:rPr>
        <w:t>consent:</w:t>
      </w:r>
    </w:p>
    <w:p w14:paraId="4823B669" w14:textId="77777777" w:rsidR="0089494B" w:rsidRPr="0089494B" w:rsidRDefault="0089494B" w:rsidP="0089494B">
      <w:pPr>
        <w:pStyle w:val="BodyText"/>
        <w:spacing w:after="0"/>
        <w:rPr>
          <w:rFonts w:cstheme="minorHAnsi"/>
        </w:rPr>
      </w:pPr>
    </w:p>
    <w:p w14:paraId="1D19A813" w14:textId="77777777" w:rsidR="0089494B" w:rsidRPr="0089494B" w:rsidRDefault="0089494B" w:rsidP="0089494B">
      <w:pPr>
        <w:pStyle w:val="ListParagraph"/>
        <w:numPr>
          <w:ilvl w:val="1"/>
          <w:numId w:val="27"/>
        </w:numPr>
        <w:autoSpaceDE w:val="0"/>
        <w:autoSpaceDN w:val="0"/>
        <w:contextualSpacing w:val="0"/>
        <w:rPr>
          <w:rFonts w:asciiTheme="minorHAnsi" w:hAnsiTheme="minorHAnsi" w:cstheme="minorHAnsi"/>
          <w:sz w:val="22"/>
          <w:szCs w:val="22"/>
        </w:rPr>
      </w:pPr>
      <w:r w:rsidRPr="0089494B">
        <w:rPr>
          <w:rFonts w:asciiTheme="minorHAnsi" w:hAnsiTheme="minorHAnsi" w:cstheme="minorHAnsi"/>
          <w:sz w:val="22"/>
          <w:szCs w:val="22"/>
        </w:rPr>
        <w:t>Environmental Impact Statement prepared by R.W. Corkery &amp;</w:t>
      </w:r>
      <w:r w:rsidRPr="0089494B">
        <w:rPr>
          <w:rFonts w:asciiTheme="minorHAnsi" w:hAnsiTheme="minorHAnsi" w:cstheme="minorHAnsi"/>
          <w:spacing w:val="-27"/>
          <w:sz w:val="22"/>
          <w:szCs w:val="22"/>
        </w:rPr>
        <w:t xml:space="preserve"> </w:t>
      </w:r>
      <w:r w:rsidRPr="0089494B">
        <w:rPr>
          <w:rFonts w:asciiTheme="minorHAnsi" w:hAnsiTheme="minorHAnsi" w:cstheme="minorHAnsi"/>
          <w:sz w:val="22"/>
          <w:szCs w:val="22"/>
        </w:rPr>
        <w:t>Co (October 2019).</w:t>
      </w:r>
    </w:p>
    <w:p w14:paraId="7C5190C7" w14:textId="77777777" w:rsidR="0089494B" w:rsidRPr="0089494B" w:rsidRDefault="0089494B" w:rsidP="0089494B">
      <w:pPr>
        <w:pStyle w:val="ListParagraph"/>
        <w:numPr>
          <w:ilvl w:val="1"/>
          <w:numId w:val="27"/>
        </w:numPr>
        <w:autoSpaceDE w:val="0"/>
        <w:autoSpaceDN w:val="0"/>
        <w:ind w:right="249"/>
        <w:contextualSpacing w:val="0"/>
        <w:rPr>
          <w:rFonts w:asciiTheme="minorHAnsi" w:hAnsiTheme="minorHAnsi" w:cstheme="minorHAnsi"/>
          <w:sz w:val="22"/>
          <w:szCs w:val="22"/>
        </w:rPr>
      </w:pPr>
      <w:r w:rsidRPr="0089494B">
        <w:rPr>
          <w:rFonts w:asciiTheme="minorHAnsi" w:hAnsiTheme="minorHAnsi" w:cstheme="minorHAnsi"/>
          <w:sz w:val="22"/>
          <w:szCs w:val="22"/>
        </w:rPr>
        <w:t>Responses to Government Agency and Public Submissions prepared by RW Corkery &amp; Co (March 2020 and</w:t>
      </w:r>
      <w:r w:rsidRPr="0089494B">
        <w:rPr>
          <w:rFonts w:asciiTheme="minorHAnsi" w:hAnsiTheme="minorHAnsi" w:cstheme="minorHAnsi"/>
          <w:spacing w:val="-13"/>
          <w:sz w:val="22"/>
          <w:szCs w:val="22"/>
        </w:rPr>
        <w:t xml:space="preserve"> </w:t>
      </w:r>
      <w:r w:rsidRPr="0089494B">
        <w:rPr>
          <w:rFonts w:asciiTheme="minorHAnsi" w:hAnsiTheme="minorHAnsi" w:cstheme="minorHAnsi"/>
          <w:sz w:val="22"/>
          <w:szCs w:val="22"/>
        </w:rPr>
        <w:t>19/6/2020).</w:t>
      </w:r>
    </w:p>
    <w:p w14:paraId="602C251E" w14:textId="77777777" w:rsidR="0089494B" w:rsidRPr="0089494B" w:rsidRDefault="0089494B" w:rsidP="0089494B">
      <w:pPr>
        <w:pStyle w:val="ListParagraph"/>
        <w:numPr>
          <w:ilvl w:val="1"/>
          <w:numId w:val="27"/>
        </w:numPr>
        <w:autoSpaceDE w:val="0"/>
        <w:autoSpaceDN w:val="0"/>
        <w:ind w:right="249"/>
        <w:contextualSpacing w:val="0"/>
        <w:rPr>
          <w:rFonts w:asciiTheme="minorHAnsi" w:hAnsiTheme="minorHAnsi" w:cstheme="minorHAnsi"/>
          <w:sz w:val="22"/>
          <w:szCs w:val="22"/>
        </w:rPr>
      </w:pPr>
      <w:r w:rsidRPr="0089494B">
        <w:rPr>
          <w:rFonts w:asciiTheme="minorHAnsi" w:hAnsiTheme="minorHAnsi" w:cstheme="minorHAnsi"/>
          <w:sz w:val="22"/>
          <w:szCs w:val="22"/>
        </w:rPr>
        <w:lastRenderedPageBreak/>
        <w:t xml:space="preserve">NSW EPA General Terms of Approval. </w:t>
      </w:r>
    </w:p>
    <w:p w14:paraId="1898CF6F" w14:textId="77777777" w:rsidR="0089494B" w:rsidRPr="0089494B" w:rsidRDefault="0089494B" w:rsidP="0089494B">
      <w:pPr>
        <w:pStyle w:val="ListParagraph"/>
        <w:numPr>
          <w:ilvl w:val="1"/>
          <w:numId w:val="27"/>
        </w:numPr>
        <w:autoSpaceDE w:val="0"/>
        <w:autoSpaceDN w:val="0"/>
        <w:ind w:right="249"/>
        <w:contextualSpacing w:val="0"/>
        <w:rPr>
          <w:rFonts w:asciiTheme="minorHAnsi" w:hAnsiTheme="minorHAnsi" w:cstheme="minorHAnsi"/>
          <w:color w:val="FF0000"/>
          <w:sz w:val="22"/>
          <w:szCs w:val="22"/>
        </w:rPr>
      </w:pPr>
      <w:r w:rsidRPr="0089494B">
        <w:rPr>
          <w:rFonts w:asciiTheme="minorHAnsi" w:hAnsiTheme="minorHAnsi" w:cstheme="minorHAnsi"/>
          <w:color w:val="FF0000"/>
          <w:sz w:val="22"/>
          <w:szCs w:val="22"/>
        </w:rPr>
        <w:t xml:space="preserve">Independent Review of Human Health Assessment, </w:t>
      </w:r>
      <w:proofErr w:type="spellStart"/>
      <w:r w:rsidRPr="0089494B">
        <w:rPr>
          <w:rFonts w:asciiTheme="minorHAnsi" w:hAnsiTheme="minorHAnsi" w:cstheme="minorHAnsi"/>
          <w:color w:val="FF0000"/>
          <w:sz w:val="22"/>
          <w:szCs w:val="22"/>
        </w:rPr>
        <w:t>Dowes</w:t>
      </w:r>
      <w:proofErr w:type="spellEnd"/>
      <w:r w:rsidRPr="0089494B">
        <w:rPr>
          <w:rFonts w:asciiTheme="minorHAnsi" w:hAnsiTheme="minorHAnsi" w:cstheme="minorHAnsi"/>
          <w:color w:val="FF0000"/>
          <w:sz w:val="22"/>
          <w:szCs w:val="22"/>
        </w:rPr>
        <w:t xml:space="preserve"> Quarry, Tenterfield prepared by </w:t>
      </w:r>
      <w:proofErr w:type="spellStart"/>
      <w:r w:rsidRPr="0089494B">
        <w:rPr>
          <w:rFonts w:asciiTheme="minorHAnsi" w:hAnsiTheme="minorHAnsi" w:cstheme="minorHAnsi"/>
          <w:color w:val="FF0000"/>
          <w:sz w:val="22"/>
          <w:szCs w:val="22"/>
        </w:rPr>
        <w:t>Todoroski</w:t>
      </w:r>
      <w:proofErr w:type="spellEnd"/>
      <w:r w:rsidRPr="0089494B">
        <w:rPr>
          <w:rFonts w:asciiTheme="minorHAnsi" w:hAnsiTheme="minorHAnsi" w:cstheme="minorHAnsi"/>
          <w:color w:val="FF0000"/>
          <w:sz w:val="22"/>
          <w:szCs w:val="22"/>
        </w:rPr>
        <w:t xml:space="preserve"> Air </w:t>
      </w:r>
      <w:proofErr w:type="gramStart"/>
      <w:r w:rsidRPr="0089494B">
        <w:rPr>
          <w:rFonts w:asciiTheme="minorHAnsi" w:hAnsiTheme="minorHAnsi" w:cstheme="minorHAnsi"/>
          <w:color w:val="FF0000"/>
          <w:sz w:val="22"/>
          <w:szCs w:val="22"/>
        </w:rPr>
        <w:t>Services  (</w:t>
      </w:r>
      <w:proofErr w:type="gramEnd"/>
      <w:r w:rsidRPr="0089494B">
        <w:rPr>
          <w:rFonts w:asciiTheme="minorHAnsi" w:hAnsiTheme="minorHAnsi" w:cstheme="minorHAnsi"/>
          <w:color w:val="FF0000"/>
          <w:sz w:val="22"/>
          <w:szCs w:val="22"/>
        </w:rPr>
        <w:t>16 March 2021 Job Number 21011234)</w:t>
      </w:r>
    </w:p>
    <w:p w14:paraId="64A5EAF5" w14:textId="77777777" w:rsidR="0089494B" w:rsidRPr="0089494B" w:rsidRDefault="0089494B" w:rsidP="0089494B">
      <w:pPr>
        <w:spacing w:after="0"/>
        <w:jc w:val="both"/>
        <w:rPr>
          <w:rFonts w:cstheme="minorHAnsi"/>
        </w:rPr>
      </w:pPr>
    </w:p>
    <w:p w14:paraId="4C33A3B4" w14:textId="77777777" w:rsidR="0089494B" w:rsidRPr="0089494B" w:rsidRDefault="0089494B" w:rsidP="0089494B">
      <w:pPr>
        <w:spacing w:after="0"/>
        <w:jc w:val="both"/>
        <w:rPr>
          <w:rFonts w:cstheme="minorHAnsi"/>
        </w:rPr>
      </w:pPr>
      <w:r w:rsidRPr="0089494B">
        <w:rPr>
          <w:rFonts w:cstheme="minorHAnsi"/>
        </w:rPr>
        <w:t>Reason: To ensure compliance with application and plans.</w:t>
      </w:r>
    </w:p>
    <w:p w14:paraId="70C761DD" w14:textId="77777777" w:rsidR="0089494B" w:rsidRPr="0089494B" w:rsidRDefault="0089494B" w:rsidP="0089494B">
      <w:pPr>
        <w:spacing w:after="0"/>
        <w:jc w:val="both"/>
        <w:rPr>
          <w:rFonts w:cstheme="minorHAnsi"/>
        </w:rPr>
      </w:pPr>
    </w:p>
    <w:p w14:paraId="2C025798" w14:textId="77777777" w:rsidR="0089494B" w:rsidRPr="0089494B" w:rsidRDefault="0089494B" w:rsidP="0089494B">
      <w:pPr>
        <w:pStyle w:val="ListParagraph"/>
        <w:numPr>
          <w:ilvl w:val="0"/>
          <w:numId w:val="28"/>
        </w:numPr>
        <w:autoSpaceDE w:val="0"/>
        <w:autoSpaceDN w:val="0"/>
        <w:ind w:left="851" w:right="134" w:hanging="851"/>
        <w:rPr>
          <w:rFonts w:asciiTheme="minorHAnsi" w:hAnsiTheme="minorHAnsi" w:cstheme="minorHAnsi"/>
          <w:sz w:val="22"/>
          <w:szCs w:val="22"/>
        </w:rPr>
      </w:pPr>
      <w:r w:rsidRPr="0089494B">
        <w:rPr>
          <w:rFonts w:asciiTheme="minorHAnsi" w:hAnsiTheme="minorHAnsi" w:cstheme="minorHAnsi"/>
          <w:sz w:val="22"/>
          <w:szCs w:val="22"/>
        </w:rPr>
        <w:t xml:space="preserve">That an ongoing air monitoring program be implemented by the applicant as per the recommendations of the Human Health Risk Assessment for Respirable Crystalline Silica: Expansion of </w:t>
      </w:r>
      <w:proofErr w:type="spellStart"/>
      <w:r w:rsidRPr="0089494B">
        <w:rPr>
          <w:rFonts w:asciiTheme="minorHAnsi" w:hAnsiTheme="minorHAnsi" w:cstheme="minorHAnsi"/>
          <w:sz w:val="22"/>
          <w:szCs w:val="22"/>
        </w:rPr>
        <w:t>Dowe’s</w:t>
      </w:r>
      <w:proofErr w:type="spellEnd"/>
      <w:r w:rsidRPr="0089494B">
        <w:rPr>
          <w:rFonts w:asciiTheme="minorHAnsi" w:hAnsiTheme="minorHAnsi" w:cstheme="minorHAnsi"/>
          <w:sz w:val="22"/>
          <w:szCs w:val="22"/>
        </w:rPr>
        <w:t xml:space="preserve"> Quarry (Ref RWC/20/DOWR001-B).</w:t>
      </w:r>
    </w:p>
    <w:p w14:paraId="70E722E1" w14:textId="77777777" w:rsidR="0089494B" w:rsidRPr="0089494B" w:rsidRDefault="0089494B" w:rsidP="0089494B">
      <w:pPr>
        <w:pStyle w:val="BodyText"/>
        <w:spacing w:after="0"/>
        <w:rPr>
          <w:rFonts w:cstheme="minorHAnsi"/>
        </w:rPr>
      </w:pPr>
    </w:p>
    <w:p w14:paraId="6E320892" w14:textId="77777777" w:rsidR="0089494B" w:rsidRPr="0089494B" w:rsidRDefault="0089494B" w:rsidP="0089494B">
      <w:pPr>
        <w:pStyle w:val="BodyText"/>
        <w:spacing w:after="0"/>
        <w:ind w:left="820" w:right="132"/>
        <w:rPr>
          <w:rFonts w:cstheme="minorHAnsi"/>
        </w:rPr>
      </w:pPr>
      <w:r w:rsidRPr="0089494B">
        <w:rPr>
          <w:rFonts w:cstheme="minorHAnsi"/>
        </w:rPr>
        <w:t xml:space="preserve">The air quality monitoring program must be described in an Air Quality Management Plan that must be prepared in consultation with the EPA and Council and submitted for approval </w:t>
      </w:r>
      <w:r w:rsidRPr="0089494B">
        <w:rPr>
          <w:rFonts w:cstheme="minorHAnsi"/>
          <w:color w:val="FF0000"/>
        </w:rPr>
        <w:t xml:space="preserve">by the EPA </w:t>
      </w:r>
      <w:r w:rsidRPr="0089494B">
        <w:rPr>
          <w:rFonts w:cstheme="minorHAnsi"/>
        </w:rPr>
        <w:t>prior to the commencement of project operations.</w:t>
      </w:r>
    </w:p>
    <w:p w14:paraId="107FCC8B" w14:textId="77777777" w:rsidR="0089494B" w:rsidRPr="0089494B" w:rsidRDefault="0089494B" w:rsidP="0089494B">
      <w:pPr>
        <w:pStyle w:val="BodyText"/>
        <w:spacing w:after="0"/>
        <w:ind w:left="820" w:right="132"/>
        <w:rPr>
          <w:rFonts w:cstheme="minorHAnsi"/>
        </w:rPr>
      </w:pPr>
    </w:p>
    <w:p w14:paraId="11D69B95" w14:textId="77777777" w:rsidR="0089494B" w:rsidRPr="0089494B" w:rsidRDefault="0089494B" w:rsidP="0089494B">
      <w:pPr>
        <w:pStyle w:val="BodyText"/>
        <w:spacing w:after="0"/>
        <w:ind w:left="820" w:right="132"/>
        <w:rPr>
          <w:rFonts w:cstheme="minorHAnsi"/>
        </w:rPr>
      </w:pPr>
      <w:r w:rsidRPr="0089494B">
        <w:rPr>
          <w:rFonts w:cstheme="minorHAnsi"/>
          <w:color w:val="FF0000"/>
        </w:rPr>
        <w:t xml:space="preserve">The Air Quality Management Plan must include consideration of both the environmental (community) mitigation measures and occupational (worker) mitigation measures identified in the Independent Review of Human Health Assessment, </w:t>
      </w:r>
      <w:proofErr w:type="spellStart"/>
      <w:r w:rsidRPr="0089494B">
        <w:rPr>
          <w:rFonts w:cstheme="minorHAnsi"/>
          <w:color w:val="FF0000"/>
        </w:rPr>
        <w:t>Dowes</w:t>
      </w:r>
      <w:proofErr w:type="spellEnd"/>
      <w:r w:rsidRPr="0089494B">
        <w:rPr>
          <w:rFonts w:cstheme="minorHAnsi"/>
          <w:color w:val="FF0000"/>
        </w:rPr>
        <w:t xml:space="preserve"> Quarry, Tenterfield prepared by </w:t>
      </w:r>
      <w:proofErr w:type="spellStart"/>
      <w:r w:rsidRPr="0089494B">
        <w:rPr>
          <w:rFonts w:cstheme="minorHAnsi"/>
          <w:color w:val="FF0000"/>
        </w:rPr>
        <w:t>Todoroski</w:t>
      </w:r>
      <w:proofErr w:type="spellEnd"/>
      <w:r w:rsidRPr="0089494B">
        <w:rPr>
          <w:rFonts w:cstheme="minorHAnsi"/>
          <w:color w:val="FF0000"/>
        </w:rPr>
        <w:t xml:space="preserve"> Air </w:t>
      </w:r>
      <w:proofErr w:type="gramStart"/>
      <w:r w:rsidRPr="0089494B">
        <w:rPr>
          <w:rFonts w:cstheme="minorHAnsi"/>
          <w:color w:val="FF0000"/>
        </w:rPr>
        <w:t>Services  (</w:t>
      </w:r>
      <w:proofErr w:type="gramEnd"/>
      <w:r w:rsidRPr="0089494B">
        <w:rPr>
          <w:rFonts w:cstheme="minorHAnsi"/>
          <w:color w:val="FF0000"/>
        </w:rPr>
        <w:t>16 March 2021 Job Number 21011234).</w:t>
      </w:r>
    </w:p>
    <w:p w14:paraId="711B679C" w14:textId="77777777" w:rsidR="0089494B" w:rsidRPr="0089494B" w:rsidRDefault="0089494B" w:rsidP="0089494B">
      <w:pPr>
        <w:pStyle w:val="BodyText"/>
        <w:spacing w:after="0"/>
        <w:rPr>
          <w:rFonts w:cstheme="minorHAnsi"/>
        </w:rPr>
      </w:pPr>
    </w:p>
    <w:p w14:paraId="19988163" w14:textId="77777777" w:rsidR="0089494B" w:rsidRPr="0089494B" w:rsidRDefault="0089494B" w:rsidP="0089494B">
      <w:pPr>
        <w:spacing w:after="0"/>
        <w:jc w:val="both"/>
        <w:rPr>
          <w:rFonts w:cstheme="minorHAnsi"/>
          <w:iCs/>
        </w:rPr>
      </w:pPr>
      <w:r w:rsidRPr="0089494B">
        <w:rPr>
          <w:rFonts w:cstheme="minorHAnsi"/>
          <w:iCs/>
        </w:rPr>
        <w:t>Reason: To monitor potential impacts to air quality.</w:t>
      </w:r>
    </w:p>
    <w:p w14:paraId="58375C9A" w14:textId="5EE85D14" w:rsidR="005B0333" w:rsidRDefault="005B0333" w:rsidP="00A211FE">
      <w:pPr>
        <w:spacing w:after="0" w:line="240" w:lineRule="auto"/>
        <w:jc w:val="both"/>
        <w:rPr>
          <w:rFonts w:cstheme="minorHAnsi"/>
        </w:rPr>
      </w:pPr>
    </w:p>
    <w:p w14:paraId="1347C001" w14:textId="532E3945" w:rsidR="005B0333" w:rsidRDefault="001F0760" w:rsidP="001F0760">
      <w:pPr>
        <w:pStyle w:val="Heading2"/>
      </w:pPr>
      <w:r>
        <w:t>1.4</w:t>
      </w:r>
      <w:r>
        <w:tab/>
        <w:t>Government Submissions</w:t>
      </w:r>
    </w:p>
    <w:p w14:paraId="63C20089" w14:textId="249B81FB" w:rsidR="001F0760" w:rsidRDefault="001F0760" w:rsidP="00F84D24">
      <w:pPr>
        <w:spacing w:after="0" w:line="240" w:lineRule="auto"/>
        <w:rPr>
          <w:rFonts w:cstheme="minorHAnsi"/>
        </w:rPr>
      </w:pPr>
    </w:p>
    <w:p w14:paraId="7CD63779" w14:textId="5CCEF265" w:rsidR="001F0760" w:rsidRDefault="001F0760" w:rsidP="00F84D24">
      <w:pPr>
        <w:spacing w:after="0" w:line="240" w:lineRule="auto"/>
        <w:rPr>
          <w:rFonts w:cstheme="minorHAnsi"/>
        </w:rPr>
      </w:pPr>
      <w:r>
        <w:rPr>
          <w:rFonts w:cstheme="minorHAnsi"/>
        </w:rPr>
        <w:t>The Review Report was referred to the following Government Departments:</w:t>
      </w:r>
    </w:p>
    <w:p w14:paraId="0A35F6A5" w14:textId="5343C546" w:rsidR="001F0760" w:rsidRDefault="001F0760" w:rsidP="00F84D24">
      <w:pPr>
        <w:spacing w:after="0" w:line="240" w:lineRule="auto"/>
        <w:rPr>
          <w:rFonts w:cstheme="minorHAnsi"/>
        </w:rPr>
      </w:pPr>
    </w:p>
    <w:p w14:paraId="69F3E425" w14:textId="2F57F0EC" w:rsidR="001F0760" w:rsidRDefault="001F0760" w:rsidP="001F0760">
      <w:pPr>
        <w:pStyle w:val="Heading3"/>
      </w:pPr>
      <w:r>
        <w:t>EPA</w:t>
      </w:r>
    </w:p>
    <w:p w14:paraId="5BC253F1" w14:textId="491B25F5" w:rsidR="001F0760" w:rsidRDefault="001F0760" w:rsidP="00F84D24">
      <w:pPr>
        <w:spacing w:after="0" w:line="240" w:lineRule="auto"/>
        <w:rPr>
          <w:rFonts w:cstheme="minorHAnsi"/>
        </w:rPr>
      </w:pPr>
    </w:p>
    <w:p w14:paraId="318C06F0" w14:textId="22228304" w:rsidR="001F0760" w:rsidRDefault="00EF3688" w:rsidP="00F84D24">
      <w:pPr>
        <w:spacing w:after="0" w:line="240" w:lineRule="auto"/>
        <w:rPr>
          <w:rFonts w:cstheme="minorHAnsi"/>
        </w:rPr>
      </w:pPr>
      <w:r>
        <w:rPr>
          <w:rFonts w:cstheme="minorHAnsi"/>
        </w:rPr>
        <w:t>The EPA have provided the following comments:</w:t>
      </w:r>
    </w:p>
    <w:p w14:paraId="2108EA00" w14:textId="6E05C8A8" w:rsidR="00EF3688" w:rsidRDefault="00EF3688" w:rsidP="00F84D24">
      <w:pPr>
        <w:spacing w:after="0" w:line="240" w:lineRule="auto"/>
        <w:rPr>
          <w:rFonts w:cstheme="minorHAnsi"/>
        </w:rPr>
      </w:pPr>
    </w:p>
    <w:p w14:paraId="14CF501E" w14:textId="77777777" w:rsidR="00EF3688" w:rsidRPr="00EF3688" w:rsidRDefault="00EF3688" w:rsidP="00EF3688">
      <w:pPr>
        <w:rPr>
          <w:i/>
          <w:iCs/>
        </w:rPr>
      </w:pPr>
      <w:r w:rsidRPr="00EF3688">
        <w:rPr>
          <w:i/>
          <w:iCs/>
        </w:rPr>
        <w:t>As the review appears to support the view that EPA had come to (</w:t>
      </w:r>
      <w:proofErr w:type="gramStart"/>
      <w:r w:rsidRPr="00EF3688">
        <w:rPr>
          <w:i/>
          <w:iCs/>
        </w:rPr>
        <w:t>i.e.</w:t>
      </w:r>
      <w:proofErr w:type="gramEnd"/>
      <w:r w:rsidRPr="00EF3688">
        <w:rPr>
          <w:i/>
          <w:iCs/>
        </w:rPr>
        <w:t xml:space="preserve"> that the HHA was appropriate and conservative) and we have already issued our General Terms of Approval on this basis, the EPA will not be providing any further comment or input with respect to this matter.</w:t>
      </w:r>
    </w:p>
    <w:p w14:paraId="1218ED23" w14:textId="77777777" w:rsidR="001F0760" w:rsidRDefault="001F0760" w:rsidP="00F84D24">
      <w:pPr>
        <w:spacing w:after="0" w:line="240" w:lineRule="auto"/>
        <w:rPr>
          <w:rFonts w:cstheme="minorHAnsi"/>
        </w:rPr>
      </w:pPr>
    </w:p>
    <w:p w14:paraId="68AA4907" w14:textId="1E7822DE" w:rsidR="001F0760" w:rsidRDefault="001F0760" w:rsidP="001F0760">
      <w:pPr>
        <w:pStyle w:val="Heading3"/>
      </w:pPr>
      <w:r>
        <w:t>NSW Health (Hunter New England Local Health District)</w:t>
      </w:r>
    </w:p>
    <w:p w14:paraId="45D35B51" w14:textId="58631255" w:rsidR="001F0760" w:rsidRDefault="001F0760" w:rsidP="00F84D24">
      <w:pPr>
        <w:spacing w:after="0" w:line="240" w:lineRule="auto"/>
        <w:rPr>
          <w:rFonts w:cstheme="minorHAnsi"/>
        </w:rPr>
      </w:pPr>
    </w:p>
    <w:p w14:paraId="6BC333E6" w14:textId="47747081" w:rsidR="001F0760" w:rsidRDefault="00EF3688" w:rsidP="00F84D24">
      <w:pPr>
        <w:spacing w:after="0" w:line="240" w:lineRule="auto"/>
        <w:rPr>
          <w:rFonts w:cstheme="minorHAnsi"/>
        </w:rPr>
      </w:pPr>
      <w:r>
        <w:rPr>
          <w:rFonts w:cstheme="minorHAnsi"/>
        </w:rPr>
        <w:t xml:space="preserve">As of the date of submission of </w:t>
      </w:r>
      <w:r w:rsidR="00020ADF">
        <w:rPr>
          <w:rFonts w:cstheme="minorHAnsi"/>
        </w:rPr>
        <w:t>this</w:t>
      </w:r>
      <w:r>
        <w:rPr>
          <w:rFonts w:cstheme="minorHAnsi"/>
        </w:rPr>
        <w:t xml:space="preserve"> Supplementary Report, no formal response has been received.</w:t>
      </w:r>
    </w:p>
    <w:p w14:paraId="596A2568" w14:textId="77777777" w:rsidR="00EF3688" w:rsidRDefault="00EF3688" w:rsidP="00EF3688">
      <w:pPr>
        <w:spacing w:after="0" w:line="240" w:lineRule="auto"/>
        <w:rPr>
          <w:rFonts w:cstheme="minorHAnsi"/>
        </w:rPr>
      </w:pPr>
    </w:p>
    <w:p w14:paraId="4FD5C51D" w14:textId="412C3E98" w:rsidR="00C76C33" w:rsidRPr="00063A64" w:rsidRDefault="00C76C33" w:rsidP="00C76C33">
      <w:pPr>
        <w:pStyle w:val="Heading1"/>
        <w:spacing w:before="0" w:line="240" w:lineRule="auto"/>
        <w:rPr>
          <w:rFonts w:asciiTheme="minorHAnsi" w:hAnsiTheme="minorHAnsi" w:cstheme="minorHAnsi"/>
        </w:rPr>
      </w:pPr>
      <w:r w:rsidRPr="00063A64">
        <w:rPr>
          <w:rFonts w:asciiTheme="minorHAnsi" w:hAnsiTheme="minorHAnsi" w:cstheme="minorHAnsi"/>
        </w:rPr>
        <w:t>3</w:t>
      </w:r>
      <w:r w:rsidRPr="00063A64">
        <w:rPr>
          <w:rFonts w:asciiTheme="minorHAnsi" w:hAnsiTheme="minorHAnsi" w:cstheme="minorHAnsi"/>
        </w:rPr>
        <w:tab/>
      </w:r>
      <w:r w:rsidR="003326E9">
        <w:rPr>
          <w:rFonts w:asciiTheme="minorHAnsi" w:hAnsiTheme="minorHAnsi" w:cstheme="minorHAnsi"/>
        </w:rPr>
        <w:t>Conclusion</w:t>
      </w:r>
    </w:p>
    <w:p w14:paraId="56F7B73C" w14:textId="77777777" w:rsidR="00C76C33" w:rsidRPr="00063A64" w:rsidRDefault="00C76C33" w:rsidP="00C76C33">
      <w:pPr>
        <w:spacing w:after="0" w:line="240" w:lineRule="auto"/>
        <w:rPr>
          <w:rFonts w:cstheme="minorHAnsi"/>
        </w:rPr>
      </w:pPr>
    </w:p>
    <w:p w14:paraId="783D607F" w14:textId="7BBC8A94" w:rsidR="00C76C33" w:rsidRPr="00063A64" w:rsidRDefault="00C76C33" w:rsidP="00C76C33">
      <w:pPr>
        <w:spacing w:after="0" w:line="240" w:lineRule="auto"/>
        <w:jc w:val="both"/>
        <w:rPr>
          <w:rFonts w:cstheme="minorHAnsi"/>
        </w:rPr>
      </w:pPr>
      <w:r w:rsidRPr="00063A64">
        <w:rPr>
          <w:rFonts w:cstheme="minorHAnsi"/>
        </w:rPr>
        <w:t xml:space="preserve">The development application seeks consent for the continued operation and expansion of extraction operations within </w:t>
      </w:r>
      <w:proofErr w:type="spellStart"/>
      <w:r w:rsidRPr="00063A64">
        <w:rPr>
          <w:rFonts w:cstheme="minorHAnsi"/>
        </w:rPr>
        <w:t>Dowe's</w:t>
      </w:r>
      <w:proofErr w:type="spellEnd"/>
      <w:r w:rsidRPr="00063A64">
        <w:rPr>
          <w:rFonts w:cstheme="minorHAnsi"/>
        </w:rPr>
        <w:t xml:space="preserve"> Quarry, which would also include an increase to the total area of disturbance, an increase to annual production and product despatch, campaign-based on­ site processing for some products, the backloading of fines material from the Sunnyside Plant and progressive backfilling of over burden and fines within the extraction </w:t>
      </w:r>
      <w:r w:rsidR="00020ADF" w:rsidRPr="00063A64">
        <w:rPr>
          <w:rFonts w:cstheme="minorHAnsi"/>
        </w:rPr>
        <w:t>void.</w:t>
      </w:r>
      <w:r w:rsidRPr="00063A64">
        <w:rPr>
          <w:rFonts w:cstheme="minorHAnsi"/>
        </w:rPr>
        <w:t xml:space="preserve"> </w:t>
      </w:r>
    </w:p>
    <w:p w14:paraId="65ABD0F6" w14:textId="77777777" w:rsidR="00C76C33" w:rsidRPr="00063A64" w:rsidRDefault="00C76C33" w:rsidP="00C76C33">
      <w:pPr>
        <w:spacing w:after="0" w:line="240" w:lineRule="auto"/>
        <w:rPr>
          <w:rFonts w:cstheme="minorHAnsi"/>
        </w:rPr>
      </w:pPr>
    </w:p>
    <w:p w14:paraId="0B7C4BB5" w14:textId="77777777" w:rsidR="00C76C33" w:rsidRPr="00063A64" w:rsidRDefault="00C76C33" w:rsidP="00C76C33">
      <w:pPr>
        <w:spacing w:after="0" w:line="240" w:lineRule="auto"/>
        <w:rPr>
          <w:rFonts w:cstheme="minorHAnsi"/>
        </w:rPr>
      </w:pPr>
      <w:r w:rsidRPr="00063A64">
        <w:rPr>
          <w:rFonts w:cstheme="minorHAnsi"/>
        </w:rPr>
        <w:t xml:space="preserve">The activities for which the Applicant is seeking development consent would involve the following. </w:t>
      </w:r>
    </w:p>
    <w:p w14:paraId="3A71062B" w14:textId="77777777" w:rsidR="00C76C33" w:rsidRPr="00063A64" w:rsidRDefault="00C76C33" w:rsidP="00C76C33">
      <w:pPr>
        <w:spacing w:after="0" w:line="240" w:lineRule="auto"/>
        <w:rPr>
          <w:rFonts w:cstheme="minorHAnsi"/>
        </w:rPr>
      </w:pPr>
    </w:p>
    <w:p w14:paraId="1D0667EE" w14:textId="77777777" w:rsidR="00C76C33" w:rsidRPr="00B62B05" w:rsidRDefault="00C76C33" w:rsidP="00C76C33">
      <w:pPr>
        <w:pStyle w:val="ListParagraph"/>
        <w:widowControl w:val="0"/>
        <w:numPr>
          <w:ilvl w:val="1"/>
          <w:numId w:val="22"/>
        </w:numPr>
        <w:tabs>
          <w:tab w:val="left" w:pos="1519"/>
        </w:tabs>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lastRenderedPageBreak/>
        <w:t>Ongoing</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extraction</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11"/>
          <w:sz w:val="22"/>
          <w:szCs w:val="22"/>
        </w:rPr>
        <w:t xml:space="preserve"> </w:t>
      </w:r>
      <w:r w:rsidRPr="00B62B05">
        <w:rPr>
          <w:rFonts w:asciiTheme="minorHAnsi" w:hAnsiTheme="minorHAnsi" w:cstheme="minorHAnsi"/>
          <w:sz w:val="22"/>
          <w:szCs w:val="22"/>
        </w:rPr>
        <w:t>quartzose</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rock</w:t>
      </w:r>
      <w:r w:rsidRPr="00B62B05">
        <w:rPr>
          <w:rFonts w:asciiTheme="minorHAnsi" w:hAnsiTheme="minorHAnsi" w:cstheme="minorHAnsi"/>
          <w:spacing w:val="-14"/>
          <w:sz w:val="22"/>
          <w:szCs w:val="22"/>
        </w:rPr>
        <w:t xml:space="preserve"> </w:t>
      </w:r>
      <w:r w:rsidRPr="00B62B05">
        <w:rPr>
          <w:rFonts w:asciiTheme="minorHAnsi" w:hAnsiTheme="minorHAnsi" w:cstheme="minorHAnsi"/>
          <w:sz w:val="22"/>
          <w:szCs w:val="22"/>
        </w:rPr>
        <w:t>within</w:t>
      </w:r>
      <w:r w:rsidRPr="00B62B05">
        <w:rPr>
          <w:rFonts w:asciiTheme="minorHAnsi" w:hAnsiTheme="minorHAnsi" w:cstheme="minorHAnsi"/>
          <w:spacing w:val="-11"/>
          <w:sz w:val="22"/>
          <w:szCs w:val="22"/>
        </w:rPr>
        <w:t xml:space="preserve"> </w:t>
      </w:r>
      <w:r w:rsidRPr="00B62B05">
        <w:rPr>
          <w:rFonts w:asciiTheme="minorHAnsi" w:hAnsiTheme="minorHAnsi" w:cstheme="minorHAnsi"/>
          <w:sz w:val="22"/>
          <w:szCs w:val="22"/>
        </w:rPr>
        <w:t>the</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existing</w:t>
      </w:r>
      <w:r w:rsidRPr="00B62B05">
        <w:rPr>
          <w:rFonts w:asciiTheme="minorHAnsi" w:hAnsiTheme="minorHAnsi" w:cstheme="minorHAnsi"/>
          <w:spacing w:val="-13"/>
          <w:sz w:val="22"/>
          <w:szCs w:val="22"/>
        </w:rPr>
        <w:t xml:space="preserve"> </w:t>
      </w:r>
      <w:r w:rsidRPr="00B62B05">
        <w:rPr>
          <w:rFonts w:asciiTheme="minorHAnsi" w:hAnsiTheme="minorHAnsi" w:cstheme="minorHAnsi"/>
          <w:sz w:val="22"/>
          <w:szCs w:val="22"/>
        </w:rPr>
        <w:t>extraction</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area</w:t>
      </w:r>
      <w:r w:rsidRPr="00B62B05">
        <w:rPr>
          <w:rFonts w:asciiTheme="minorHAnsi" w:hAnsiTheme="minorHAnsi" w:cstheme="minorHAnsi"/>
          <w:spacing w:val="-12"/>
          <w:sz w:val="22"/>
          <w:szCs w:val="22"/>
        </w:rPr>
        <w:t xml:space="preserve"> </w:t>
      </w:r>
      <w:r w:rsidRPr="00B62B05">
        <w:rPr>
          <w:rFonts w:asciiTheme="minorHAnsi" w:hAnsiTheme="minorHAnsi" w:cstheme="minorHAnsi"/>
          <w:sz w:val="22"/>
          <w:szCs w:val="22"/>
        </w:rPr>
        <w:t>and</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a 4.5ha</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extension</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the</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extraction</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area,</w:t>
      </w:r>
      <w:r w:rsidRPr="00B62B05">
        <w:rPr>
          <w:rFonts w:asciiTheme="minorHAnsi" w:hAnsiTheme="minorHAnsi" w:cstheme="minorHAnsi"/>
          <w:spacing w:val="-20"/>
          <w:sz w:val="22"/>
          <w:szCs w:val="22"/>
        </w:rPr>
        <w:t xml:space="preserve"> </w:t>
      </w:r>
      <w:r w:rsidRPr="00B62B05">
        <w:rPr>
          <w:rFonts w:asciiTheme="minorHAnsi" w:hAnsiTheme="minorHAnsi" w:cstheme="minorHAnsi"/>
          <w:sz w:val="22"/>
          <w:szCs w:val="22"/>
        </w:rPr>
        <w:t>producing</w:t>
      </w:r>
      <w:r w:rsidRPr="00B62B05">
        <w:rPr>
          <w:rFonts w:asciiTheme="minorHAnsi" w:hAnsiTheme="minorHAnsi" w:cstheme="minorHAnsi"/>
          <w:spacing w:val="-20"/>
          <w:sz w:val="22"/>
          <w:szCs w:val="22"/>
        </w:rPr>
        <w:t xml:space="preserve"> </w:t>
      </w:r>
      <w:r w:rsidRPr="00B62B05">
        <w:rPr>
          <w:rFonts w:asciiTheme="minorHAnsi" w:hAnsiTheme="minorHAnsi" w:cstheme="minorHAnsi"/>
          <w:sz w:val="22"/>
          <w:szCs w:val="22"/>
        </w:rPr>
        <w:t>up</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230,000</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tonnes</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rock per</w:t>
      </w:r>
      <w:r w:rsidRPr="00B62B05">
        <w:rPr>
          <w:rFonts w:asciiTheme="minorHAnsi" w:hAnsiTheme="minorHAnsi" w:cstheme="minorHAnsi"/>
          <w:spacing w:val="-2"/>
          <w:sz w:val="22"/>
          <w:szCs w:val="22"/>
        </w:rPr>
        <w:t xml:space="preserve"> </w:t>
      </w:r>
      <w:r w:rsidRPr="00B62B05">
        <w:rPr>
          <w:rFonts w:asciiTheme="minorHAnsi" w:hAnsiTheme="minorHAnsi" w:cstheme="minorHAnsi"/>
          <w:sz w:val="22"/>
          <w:szCs w:val="22"/>
        </w:rPr>
        <w:t>year.</w:t>
      </w:r>
    </w:p>
    <w:p w14:paraId="19CDD3CE" w14:textId="77777777" w:rsidR="00C76C33" w:rsidRPr="00B62B05" w:rsidRDefault="00C76C33" w:rsidP="00C76C33">
      <w:pPr>
        <w:pStyle w:val="ListParagraph"/>
        <w:widowControl w:val="0"/>
        <w:numPr>
          <w:ilvl w:val="1"/>
          <w:numId w:val="22"/>
        </w:numPr>
        <w:tabs>
          <w:tab w:val="left" w:pos="1519"/>
        </w:tabs>
        <w:autoSpaceDE w:val="0"/>
        <w:autoSpaceDN w:val="0"/>
        <w:spacing w:before="1" w:line="305" w:lineRule="exact"/>
        <w:contextualSpacing w:val="0"/>
        <w:rPr>
          <w:rFonts w:asciiTheme="minorHAnsi" w:hAnsiTheme="minorHAnsi" w:cstheme="minorHAnsi"/>
          <w:sz w:val="22"/>
          <w:szCs w:val="22"/>
        </w:rPr>
      </w:pPr>
      <w:r w:rsidRPr="00B62B05">
        <w:rPr>
          <w:rFonts w:asciiTheme="minorHAnsi" w:hAnsiTheme="minorHAnsi" w:cstheme="minorHAnsi"/>
          <w:sz w:val="22"/>
          <w:szCs w:val="22"/>
        </w:rPr>
        <w:t>Total</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extraction</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for</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the</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quarry</w:t>
      </w:r>
      <w:r w:rsidRPr="00B62B05">
        <w:rPr>
          <w:rFonts w:asciiTheme="minorHAnsi" w:hAnsiTheme="minorHAnsi" w:cstheme="minorHAnsi"/>
          <w:spacing w:val="-4"/>
          <w:sz w:val="22"/>
          <w:szCs w:val="22"/>
        </w:rPr>
        <w:t xml:space="preserve"> </w:t>
      </w:r>
      <w:r w:rsidRPr="00B62B05">
        <w:rPr>
          <w:rFonts w:asciiTheme="minorHAnsi" w:hAnsiTheme="minorHAnsi" w:cstheme="minorHAnsi"/>
          <w:sz w:val="22"/>
          <w:szCs w:val="22"/>
        </w:rPr>
        <w:t>is</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not</w:t>
      </w:r>
      <w:r w:rsidRPr="00B62B05">
        <w:rPr>
          <w:rFonts w:asciiTheme="minorHAnsi" w:hAnsiTheme="minorHAnsi" w:cstheme="minorHAnsi"/>
          <w:spacing w:val="-4"/>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4"/>
          <w:sz w:val="22"/>
          <w:szCs w:val="22"/>
        </w:rPr>
        <w:t xml:space="preserve"> </w:t>
      </w:r>
      <w:r w:rsidRPr="00B62B05">
        <w:rPr>
          <w:rFonts w:asciiTheme="minorHAnsi" w:hAnsiTheme="minorHAnsi" w:cstheme="minorHAnsi"/>
          <w:sz w:val="22"/>
          <w:szCs w:val="22"/>
        </w:rPr>
        <w:t>exceed</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4.8</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million</w:t>
      </w:r>
      <w:r w:rsidRPr="00B62B05">
        <w:rPr>
          <w:rFonts w:asciiTheme="minorHAnsi" w:hAnsiTheme="minorHAnsi" w:cstheme="minorHAnsi"/>
          <w:spacing w:val="-2"/>
          <w:sz w:val="22"/>
          <w:szCs w:val="22"/>
        </w:rPr>
        <w:t xml:space="preserve"> </w:t>
      </w:r>
      <w:r w:rsidRPr="00B62B05">
        <w:rPr>
          <w:rFonts w:asciiTheme="minorHAnsi" w:hAnsiTheme="minorHAnsi" w:cstheme="minorHAnsi"/>
          <w:sz w:val="22"/>
          <w:szCs w:val="22"/>
        </w:rPr>
        <w:t>tonnes.</w:t>
      </w:r>
    </w:p>
    <w:p w14:paraId="08433E1C" w14:textId="77777777" w:rsidR="00C76C33" w:rsidRPr="00B62B05" w:rsidRDefault="00C76C33" w:rsidP="00C76C33">
      <w:pPr>
        <w:pStyle w:val="ListParagraph"/>
        <w:widowControl w:val="0"/>
        <w:numPr>
          <w:ilvl w:val="1"/>
          <w:numId w:val="22"/>
        </w:numPr>
        <w:tabs>
          <w:tab w:val="left" w:pos="1519"/>
        </w:tabs>
        <w:autoSpaceDE w:val="0"/>
        <w:autoSpaceDN w:val="0"/>
        <w:ind w:right="252"/>
        <w:contextualSpacing w:val="0"/>
        <w:rPr>
          <w:rFonts w:asciiTheme="minorHAnsi" w:hAnsiTheme="minorHAnsi" w:cstheme="minorHAnsi"/>
          <w:sz w:val="22"/>
          <w:szCs w:val="22"/>
        </w:rPr>
      </w:pPr>
      <w:r w:rsidRPr="00B62B05">
        <w:rPr>
          <w:rFonts w:asciiTheme="minorHAnsi" w:hAnsiTheme="minorHAnsi" w:cstheme="minorHAnsi"/>
          <w:sz w:val="22"/>
          <w:szCs w:val="22"/>
        </w:rPr>
        <w:t>Dispatch of not more than 120 laden trucks per week (averaged over a four-week</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period)</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with</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a</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maximum</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28</w:t>
      </w:r>
      <w:r w:rsidRPr="00B62B05">
        <w:rPr>
          <w:rFonts w:asciiTheme="minorHAnsi" w:hAnsiTheme="minorHAnsi" w:cstheme="minorHAnsi"/>
          <w:spacing w:val="-2"/>
          <w:sz w:val="22"/>
          <w:szCs w:val="22"/>
        </w:rPr>
        <w:t xml:space="preserve"> </w:t>
      </w:r>
      <w:r w:rsidRPr="00B62B05">
        <w:rPr>
          <w:rFonts w:asciiTheme="minorHAnsi" w:hAnsiTheme="minorHAnsi" w:cstheme="minorHAnsi"/>
          <w:sz w:val="22"/>
          <w:szCs w:val="22"/>
        </w:rPr>
        <w:t>laden</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trucks</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on</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any</w:t>
      </w:r>
      <w:r w:rsidRPr="00B62B05">
        <w:rPr>
          <w:rFonts w:asciiTheme="minorHAnsi" w:hAnsiTheme="minorHAnsi" w:cstheme="minorHAnsi"/>
          <w:spacing w:val="-4"/>
          <w:sz w:val="22"/>
          <w:szCs w:val="22"/>
        </w:rPr>
        <w:t xml:space="preserve"> </w:t>
      </w:r>
      <w:r w:rsidRPr="00B62B05">
        <w:rPr>
          <w:rFonts w:asciiTheme="minorHAnsi" w:hAnsiTheme="minorHAnsi" w:cstheme="minorHAnsi"/>
          <w:sz w:val="22"/>
          <w:szCs w:val="22"/>
        </w:rPr>
        <w:t>one</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day;</w:t>
      </w:r>
    </w:p>
    <w:p w14:paraId="16B27B76" w14:textId="77777777" w:rsidR="00C76C33" w:rsidRPr="00B62B05" w:rsidRDefault="00C76C33" w:rsidP="00C76C33">
      <w:pPr>
        <w:pStyle w:val="ListParagraph"/>
        <w:widowControl w:val="0"/>
        <w:numPr>
          <w:ilvl w:val="1"/>
          <w:numId w:val="22"/>
        </w:numPr>
        <w:tabs>
          <w:tab w:val="left" w:pos="1519"/>
        </w:tabs>
        <w:autoSpaceDE w:val="0"/>
        <w:autoSpaceDN w:val="0"/>
        <w:ind w:right="249"/>
        <w:contextualSpacing w:val="0"/>
        <w:rPr>
          <w:rFonts w:asciiTheme="minorHAnsi" w:hAnsiTheme="minorHAnsi" w:cstheme="minorHAnsi"/>
          <w:sz w:val="22"/>
          <w:szCs w:val="22"/>
        </w:rPr>
      </w:pPr>
      <w:r w:rsidRPr="00B62B05">
        <w:rPr>
          <w:rFonts w:asciiTheme="minorHAnsi" w:hAnsiTheme="minorHAnsi" w:cstheme="minorHAnsi"/>
          <w:sz w:val="22"/>
          <w:szCs w:val="22"/>
        </w:rPr>
        <w:t>Normal product dispatch is limited to weekdays (public holidays excluded) with</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contingency</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operations</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a</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Saturday</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permitted</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on</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no</w:t>
      </w:r>
      <w:r w:rsidRPr="00B62B05">
        <w:rPr>
          <w:rFonts w:asciiTheme="minorHAnsi" w:hAnsiTheme="minorHAnsi" w:cstheme="minorHAnsi"/>
          <w:spacing w:val="-14"/>
          <w:sz w:val="22"/>
          <w:szCs w:val="22"/>
        </w:rPr>
        <w:t xml:space="preserve"> </w:t>
      </w:r>
      <w:r w:rsidRPr="00B62B05">
        <w:rPr>
          <w:rFonts w:asciiTheme="minorHAnsi" w:hAnsiTheme="minorHAnsi" w:cstheme="minorHAnsi"/>
          <w:sz w:val="22"/>
          <w:szCs w:val="22"/>
        </w:rPr>
        <w:t>more</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than</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ten</w:t>
      </w:r>
      <w:r w:rsidRPr="00B62B05">
        <w:rPr>
          <w:rFonts w:asciiTheme="minorHAnsi" w:hAnsiTheme="minorHAnsi" w:cstheme="minorHAnsi"/>
          <w:spacing w:val="-14"/>
          <w:sz w:val="22"/>
          <w:szCs w:val="22"/>
        </w:rPr>
        <w:t xml:space="preserve"> </w:t>
      </w:r>
      <w:r w:rsidRPr="00B62B05">
        <w:rPr>
          <w:rFonts w:asciiTheme="minorHAnsi" w:hAnsiTheme="minorHAnsi" w:cstheme="minorHAnsi"/>
          <w:sz w:val="22"/>
          <w:szCs w:val="22"/>
        </w:rPr>
        <w:t>(10) Saturdays per</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year.</w:t>
      </w:r>
    </w:p>
    <w:p w14:paraId="583715B0" w14:textId="77777777" w:rsidR="00C76C33" w:rsidRPr="00B62B05" w:rsidRDefault="00C76C33" w:rsidP="00C76C33">
      <w:pPr>
        <w:pStyle w:val="ListParagraph"/>
        <w:widowControl w:val="0"/>
        <w:numPr>
          <w:ilvl w:val="1"/>
          <w:numId w:val="22"/>
        </w:numPr>
        <w:tabs>
          <w:tab w:val="left" w:pos="1519"/>
        </w:tabs>
        <w:autoSpaceDE w:val="0"/>
        <w:autoSpaceDN w:val="0"/>
        <w:spacing w:line="305" w:lineRule="exact"/>
        <w:contextualSpacing w:val="0"/>
        <w:rPr>
          <w:rFonts w:asciiTheme="minorHAnsi" w:hAnsiTheme="minorHAnsi" w:cstheme="minorHAnsi"/>
          <w:sz w:val="22"/>
          <w:szCs w:val="22"/>
        </w:rPr>
      </w:pPr>
      <w:r w:rsidRPr="00B62B05">
        <w:rPr>
          <w:rFonts w:asciiTheme="minorHAnsi" w:hAnsiTheme="minorHAnsi" w:cstheme="minorHAnsi"/>
          <w:sz w:val="22"/>
          <w:szCs w:val="22"/>
        </w:rPr>
        <w:t>Campaign</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crushing</w:t>
      </w:r>
      <w:r w:rsidRPr="00B62B05">
        <w:rPr>
          <w:rFonts w:asciiTheme="minorHAnsi" w:hAnsiTheme="minorHAnsi" w:cstheme="minorHAnsi"/>
          <w:spacing w:val="-11"/>
          <w:sz w:val="22"/>
          <w:szCs w:val="22"/>
        </w:rPr>
        <w:t xml:space="preserve"> </w:t>
      </w:r>
      <w:r w:rsidRPr="00B62B05">
        <w:rPr>
          <w:rFonts w:asciiTheme="minorHAnsi" w:hAnsiTheme="minorHAnsi" w:cstheme="minorHAnsi"/>
          <w:sz w:val="22"/>
          <w:szCs w:val="22"/>
        </w:rPr>
        <w:t>and</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screening</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on</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site</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using</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mobile</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processing</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equipment.</w:t>
      </w:r>
    </w:p>
    <w:p w14:paraId="5447E724" w14:textId="77777777" w:rsidR="00C76C33" w:rsidRPr="00B62B05" w:rsidRDefault="00C76C33" w:rsidP="00C76C33">
      <w:pPr>
        <w:pStyle w:val="ListParagraph"/>
        <w:widowControl w:val="0"/>
        <w:numPr>
          <w:ilvl w:val="1"/>
          <w:numId w:val="22"/>
        </w:numPr>
        <w:tabs>
          <w:tab w:val="left" w:pos="1519"/>
        </w:tabs>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t>Transportation</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extracted</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rock</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the</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State</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road</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network</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for</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delivery</w:t>
      </w:r>
      <w:r w:rsidRPr="00B62B05">
        <w:rPr>
          <w:rFonts w:asciiTheme="minorHAnsi" w:hAnsiTheme="minorHAnsi" w:cstheme="minorHAnsi"/>
          <w:spacing w:val="-10"/>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the Sunnyside</w:t>
      </w:r>
      <w:r w:rsidRPr="00B62B05">
        <w:rPr>
          <w:rFonts w:asciiTheme="minorHAnsi" w:hAnsiTheme="minorHAnsi" w:cstheme="minorHAnsi"/>
          <w:spacing w:val="-5"/>
          <w:sz w:val="22"/>
          <w:szCs w:val="22"/>
        </w:rPr>
        <w:t xml:space="preserve"> </w:t>
      </w:r>
      <w:r w:rsidRPr="00B62B05">
        <w:rPr>
          <w:rFonts w:asciiTheme="minorHAnsi" w:hAnsiTheme="minorHAnsi" w:cstheme="minorHAnsi"/>
          <w:sz w:val="22"/>
          <w:szCs w:val="22"/>
        </w:rPr>
        <w:t>Crushing</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and</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Screening</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Plant</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located</w:t>
      </w:r>
      <w:r w:rsidRPr="00B62B05">
        <w:rPr>
          <w:rFonts w:asciiTheme="minorHAnsi" w:hAnsiTheme="minorHAnsi" w:cstheme="minorHAnsi"/>
          <w:spacing w:val="-6"/>
          <w:sz w:val="22"/>
          <w:szCs w:val="22"/>
        </w:rPr>
        <w:t xml:space="preserve"> </w:t>
      </w:r>
      <w:r w:rsidRPr="00B62B05">
        <w:rPr>
          <w:rFonts w:asciiTheme="minorHAnsi" w:hAnsiTheme="minorHAnsi" w:cstheme="minorHAnsi"/>
          <w:sz w:val="22"/>
          <w:szCs w:val="22"/>
        </w:rPr>
        <w:t>adjacent</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9"/>
          <w:sz w:val="22"/>
          <w:szCs w:val="22"/>
        </w:rPr>
        <w:t xml:space="preserve"> </w:t>
      </w:r>
      <w:r w:rsidRPr="00B62B05">
        <w:rPr>
          <w:rFonts w:asciiTheme="minorHAnsi" w:hAnsiTheme="minorHAnsi" w:cstheme="minorHAnsi"/>
          <w:sz w:val="22"/>
          <w:szCs w:val="22"/>
        </w:rPr>
        <w:t>the</w:t>
      </w:r>
      <w:r w:rsidRPr="00B62B05">
        <w:rPr>
          <w:rFonts w:asciiTheme="minorHAnsi" w:hAnsiTheme="minorHAnsi" w:cstheme="minorHAnsi"/>
          <w:spacing w:val="-3"/>
          <w:sz w:val="22"/>
          <w:szCs w:val="22"/>
        </w:rPr>
        <w:t xml:space="preserve"> </w:t>
      </w:r>
      <w:r w:rsidRPr="00B62B05">
        <w:rPr>
          <w:rFonts w:asciiTheme="minorHAnsi" w:hAnsiTheme="minorHAnsi" w:cstheme="minorHAnsi"/>
          <w:sz w:val="22"/>
          <w:szCs w:val="22"/>
        </w:rPr>
        <w:t>New</w:t>
      </w:r>
      <w:r w:rsidRPr="00B62B05">
        <w:rPr>
          <w:rFonts w:asciiTheme="minorHAnsi" w:hAnsiTheme="minorHAnsi" w:cstheme="minorHAnsi"/>
          <w:spacing w:val="-7"/>
          <w:sz w:val="22"/>
          <w:szCs w:val="22"/>
        </w:rPr>
        <w:t xml:space="preserve"> </w:t>
      </w:r>
      <w:r w:rsidRPr="00B62B05">
        <w:rPr>
          <w:rFonts w:asciiTheme="minorHAnsi" w:hAnsiTheme="minorHAnsi" w:cstheme="minorHAnsi"/>
          <w:sz w:val="22"/>
          <w:szCs w:val="22"/>
        </w:rPr>
        <w:t>England Highway,</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10km</w:t>
      </w:r>
      <w:r w:rsidRPr="00B62B05">
        <w:rPr>
          <w:rFonts w:asciiTheme="minorHAnsi" w:hAnsiTheme="minorHAnsi" w:cstheme="minorHAnsi"/>
          <w:spacing w:val="-20"/>
          <w:sz w:val="22"/>
          <w:szCs w:val="22"/>
        </w:rPr>
        <w:t xml:space="preserve"> </w:t>
      </w:r>
      <w:r w:rsidRPr="00B62B05">
        <w:rPr>
          <w:rFonts w:asciiTheme="minorHAnsi" w:hAnsiTheme="minorHAnsi" w:cstheme="minorHAnsi"/>
          <w:sz w:val="22"/>
          <w:szCs w:val="22"/>
        </w:rPr>
        <w:t>northwest</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of</w:t>
      </w:r>
      <w:r w:rsidRPr="00B62B05">
        <w:rPr>
          <w:rFonts w:asciiTheme="minorHAnsi" w:hAnsiTheme="minorHAnsi" w:cstheme="minorHAnsi"/>
          <w:spacing w:val="-17"/>
          <w:sz w:val="22"/>
          <w:szCs w:val="22"/>
        </w:rPr>
        <w:t xml:space="preserve"> </w:t>
      </w:r>
      <w:r w:rsidRPr="00B62B05">
        <w:rPr>
          <w:rFonts w:asciiTheme="minorHAnsi" w:hAnsiTheme="minorHAnsi" w:cstheme="minorHAnsi"/>
          <w:sz w:val="22"/>
          <w:szCs w:val="22"/>
        </w:rPr>
        <w:t>Tenterfield</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or</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on</w:t>
      </w:r>
      <w:r w:rsidRPr="00B62B05">
        <w:rPr>
          <w:rFonts w:asciiTheme="minorHAnsi" w:hAnsiTheme="minorHAnsi" w:cstheme="minorHAnsi"/>
          <w:spacing w:val="-18"/>
          <w:sz w:val="22"/>
          <w:szCs w:val="22"/>
        </w:rPr>
        <w:t xml:space="preserve"> </w:t>
      </w:r>
      <w:r w:rsidRPr="00B62B05">
        <w:rPr>
          <w:rFonts w:asciiTheme="minorHAnsi" w:hAnsiTheme="minorHAnsi" w:cstheme="minorHAnsi"/>
          <w:sz w:val="22"/>
          <w:szCs w:val="22"/>
        </w:rPr>
        <w:t>occasions</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to</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alternate</w:t>
      </w:r>
      <w:r w:rsidRPr="00B62B05">
        <w:rPr>
          <w:rFonts w:asciiTheme="minorHAnsi" w:hAnsiTheme="minorHAnsi" w:cstheme="minorHAnsi"/>
          <w:spacing w:val="-19"/>
          <w:sz w:val="22"/>
          <w:szCs w:val="22"/>
        </w:rPr>
        <w:t xml:space="preserve"> </w:t>
      </w:r>
      <w:r w:rsidRPr="00B62B05">
        <w:rPr>
          <w:rFonts w:asciiTheme="minorHAnsi" w:hAnsiTheme="minorHAnsi" w:cstheme="minorHAnsi"/>
          <w:sz w:val="22"/>
          <w:szCs w:val="22"/>
        </w:rPr>
        <w:t>locations within or beyond the New England Region.</w:t>
      </w:r>
    </w:p>
    <w:p w14:paraId="657B20A0" w14:textId="77777777" w:rsidR="00C76C33" w:rsidRPr="00B62B05" w:rsidRDefault="00C76C33" w:rsidP="00C76C33">
      <w:pPr>
        <w:pStyle w:val="ListParagraph"/>
        <w:widowControl w:val="0"/>
        <w:numPr>
          <w:ilvl w:val="1"/>
          <w:numId w:val="22"/>
        </w:numPr>
        <w:tabs>
          <w:tab w:val="left" w:pos="1519"/>
        </w:tabs>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t xml:space="preserve">Backloading of clay fines and crusher fines from Sunnyside to </w:t>
      </w:r>
      <w:proofErr w:type="spellStart"/>
      <w:r w:rsidRPr="00B62B05">
        <w:rPr>
          <w:rFonts w:asciiTheme="minorHAnsi" w:hAnsiTheme="minorHAnsi" w:cstheme="minorHAnsi"/>
          <w:sz w:val="22"/>
          <w:szCs w:val="22"/>
        </w:rPr>
        <w:t>Dowe’s</w:t>
      </w:r>
      <w:proofErr w:type="spellEnd"/>
      <w:r w:rsidRPr="00B62B05">
        <w:rPr>
          <w:rFonts w:asciiTheme="minorHAnsi" w:hAnsiTheme="minorHAnsi" w:cstheme="minorHAnsi"/>
          <w:sz w:val="22"/>
          <w:szCs w:val="22"/>
        </w:rPr>
        <w:t xml:space="preserve"> Quarry.</w:t>
      </w:r>
    </w:p>
    <w:p w14:paraId="3F9F7E14" w14:textId="77777777" w:rsidR="00C76C33" w:rsidRPr="00B62B05" w:rsidRDefault="00C76C33" w:rsidP="00C76C33">
      <w:pPr>
        <w:pStyle w:val="ListParagraph"/>
        <w:widowControl w:val="0"/>
        <w:numPr>
          <w:ilvl w:val="1"/>
          <w:numId w:val="22"/>
        </w:numPr>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t>Progressive emplacement of overburden and returned clay fines within and adjacent to the extraction area.</w:t>
      </w:r>
    </w:p>
    <w:p w14:paraId="64B4AAF1" w14:textId="77777777" w:rsidR="00C76C33" w:rsidRPr="00B62B05" w:rsidRDefault="00C76C33" w:rsidP="00C76C33">
      <w:pPr>
        <w:pStyle w:val="ListParagraph"/>
        <w:widowControl w:val="0"/>
        <w:numPr>
          <w:ilvl w:val="1"/>
          <w:numId w:val="22"/>
        </w:numPr>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t>Storage of surplus crusher fines from Sunnyside awaiting sale and transportation. Any subsequent transportation of crusher fines from the Quarry Site is not included in the annual production limit;</w:t>
      </w:r>
    </w:p>
    <w:p w14:paraId="020ECC0D" w14:textId="77777777" w:rsidR="00C76C33" w:rsidRPr="00B62B05" w:rsidRDefault="00C76C33" w:rsidP="00C76C33">
      <w:pPr>
        <w:pStyle w:val="ListParagraph"/>
        <w:widowControl w:val="0"/>
        <w:numPr>
          <w:ilvl w:val="1"/>
          <w:numId w:val="22"/>
        </w:numPr>
        <w:autoSpaceDE w:val="0"/>
        <w:autoSpaceDN w:val="0"/>
        <w:ind w:right="248"/>
        <w:contextualSpacing w:val="0"/>
        <w:rPr>
          <w:rFonts w:asciiTheme="minorHAnsi" w:hAnsiTheme="minorHAnsi" w:cstheme="minorHAnsi"/>
          <w:sz w:val="22"/>
          <w:szCs w:val="22"/>
        </w:rPr>
      </w:pPr>
      <w:r w:rsidRPr="00B62B05">
        <w:rPr>
          <w:rFonts w:asciiTheme="minorHAnsi" w:hAnsiTheme="minorHAnsi" w:cstheme="minorHAnsi"/>
          <w:sz w:val="22"/>
          <w:szCs w:val="22"/>
        </w:rPr>
        <w:t>Period of Extraction of Material of no more than 25 years from the date of consent;</w:t>
      </w:r>
      <w:r w:rsidRPr="00B62B05">
        <w:rPr>
          <w:rFonts w:asciiTheme="minorHAnsi" w:hAnsiTheme="minorHAnsi" w:cstheme="minorHAnsi"/>
          <w:spacing w:val="-2"/>
          <w:sz w:val="22"/>
          <w:szCs w:val="22"/>
        </w:rPr>
        <w:t xml:space="preserve"> </w:t>
      </w:r>
      <w:r w:rsidRPr="00B62B05">
        <w:rPr>
          <w:rFonts w:asciiTheme="minorHAnsi" w:hAnsiTheme="minorHAnsi" w:cstheme="minorHAnsi"/>
          <w:sz w:val="22"/>
          <w:szCs w:val="22"/>
        </w:rPr>
        <w:t>and</w:t>
      </w:r>
    </w:p>
    <w:p w14:paraId="0CB6C2CD" w14:textId="77777777" w:rsidR="00C76C33" w:rsidRPr="00B62B05" w:rsidRDefault="00C76C33" w:rsidP="00C76C33">
      <w:pPr>
        <w:pStyle w:val="ListParagraph"/>
        <w:widowControl w:val="0"/>
        <w:numPr>
          <w:ilvl w:val="1"/>
          <w:numId w:val="22"/>
        </w:numPr>
        <w:tabs>
          <w:tab w:val="left" w:pos="1518"/>
          <w:tab w:val="left" w:pos="1519"/>
        </w:tabs>
        <w:autoSpaceDE w:val="0"/>
        <w:autoSpaceDN w:val="0"/>
        <w:spacing w:line="302" w:lineRule="exact"/>
        <w:contextualSpacing w:val="0"/>
        <w:jc w:val="left"/>
        <w:rPr>
          <w:rFonts w:asciiTheme="minorHAnsi" w:hAnsiTheme="minorHAnsi" w:cstheme="minorHAnsi"/>
          <w:sz w:val="22"/>
          <w:szCs w:val="22"/>
        </w:rPr>
      </w:pPr>
      <w:r w:rsidRPr="00B62B05">
        <w:rPr>
          <w:rFonts w:asciiTheme="minorHAnsi" w:hAnsiTheme="minorHAnsi" w:cstheme="minorHAnsi"/>
          <w:sz w:val="22"/>
          <w:szCs w:val="22"/>
        </w:rPr>
        <w:t>Rehabilitation of the</w:t>
      </w:r>
      <w:r w:rsidRPr="00B62B05">
        <w:rPr>
          <w:rFonts w:asciiTheme="minorHAnsi" w:hAnsiTheme="minorHAnsi" w:cstheme="minorHAnsi"/>
          <w:spacing w:val="-8"/>
          <w:sz w:val="22"/>
          <w:szCs w:val="22"/>
        </w:rPr>
        <w:t xml:space="preserve"> </w:t>
      </w:r>
      <w:r w:rsidRPr="00B62B05">
        <w:rPr>
          <w:rFonts w:asciiTheme="minorHAnsi" w:hAnsiTheme="minorHAnsi" w:cstheme="minorHAnsi"/>
          <w:sz w:val="22"/>
          <w:szCs w:val="22"/>
        </w:rPr>
        <w:t>site.</w:t>
      </w:r>
    </w:p>
    <w:p w14:paraId="6D8317C9" w14:textId="59345A87" w:rsidR="003326E9" w:rsidRDefault="003326E9" w:rsidP="00C76C33">
      <w:pPr>
        <w:spacing w:after="0" w:line="240" w:lineRule="auto"/>
        <w:rPr>
          <w:rFonts w:cstheme="minorHAnsi"/>
        </w:rPr>
      </w:pPr>
    </w:p>
    <w:p w14:paraId="1194C67B" w14:textId="06902093" w:rsidR="003326E9" w:rsidRPr="000C1802" w:rsidRDefault="003326E9" w:rsidP="003326E9">
      <w:pPr>
        <w:spacing w:after="0" w:line="240" w:lineRule="auto"/>
        <w:jc w:val="both"/>
        <w:rPr>
          <w:rFonts w:cstheme="minorHAnsi"/>
        </w:rPr>
      </w:pPr>
      <w:r w:rsidRPr="000C1802">
        <w:rPr>
          <w:rFonts w:cstheme="minorHAnsi"/>
        </w:rPr>
        <w:t xml:space="preserve">An independent review of the Human Health Risk Assessment was undertaken by </w:t>
      </w:r>
      <w:proofErr w:type="spellStart"/>
      <w:r w:rsidRPr="000C1802">
        <w:rPr>
          <w:rFonts w:cstheme="minorHAnsi"/>
        </w:rPr>
        <w:t>Todoroski</w:t>
      </w:r>
      <w:proofErr w:type="spellEnd"/>
      <w:r w:rsidRPr="000C1802">
        <w:rPr>
          <w:rFonts w:cstheme="minorHAnsi"/>
        </w:rPr>
        <w:t xml:space="preserve"> Air Services in accordance with the Record of Deferral by the Panel dated 8 December 2020.</w:t>
      </w:r>
      <w:r>
        <w:rPr>
          <w:rFonts w:cstheme="minorHAnsi"/>
        </w:rPr>
        <w:t xml:space="preserve">  The independent review concluded:</w:t>
      </w:r>
    </w:p>
    <w:p w14:paraId="4881C515" w14:textId="138F109D" w:rsidR="003326E9" w:rsidRDefault="003326E9" w:rsidP="00C76C33">
      <w:pPr>
        <w:spacing w:after="0" w:line="240" w:lineRule="auto"/>
        <w:rPr>
          <w:rFonts w:cstheme="minorHAnsi"/>
        </w:rPr>
      </w:pPr>
    </w:p>
    <w:p w14:paraId="09280CAE" w14:textId="77777777" w:rsidR="003326E9" w:rsidRPr="001F0760" w:rsidRDefault="003326E9" w:rsidP="003326E9">
      <w:pPr>
        <w:spacing w:after="0"/>
        <w:ind w:left="709"/>
        <w:jc w:val="both"/>
        <w:rPr>
          <w:rFonts w:cstheme="minorHAnsi"/>
          <w:i/>
          <w:iCs/>
        </w:rPr>
      </w:pPr>
      <w:r w:rsidRPr="001F0760">
        <w:rPr>
          <w:rFonts w:cstheme="minorHAnsi"/>
          <w:i/>
          <w:iCs/>
        </w:rPr>
        <w:t xml:space="preserve">We found that the HHRA and the AQIA are adequate and conclude that the Project would meet the relevant criteria, including for respirable crystalline silica, by a large margin. </w:t>
      </w:r>
    </w:p>
    <w:p w14:paraId="607B2BE7" w14:textId="77777777" w:rsidR="003326E9" w:rsidRPr="001F0760" w:rsidRDefault="003326E9" w:rsidP="003326E9">
      <w:pPr>
        <w:spacing w:after="0"/>
        <w:ind w:left="709"/>
        <w:jc w:val="both"/>
        <w:rPr>
          <w:rFonts w:cstheme="minorHAnsi"/>
          <w:i/>
          <w:iCs/>
        </w:rPr>
      </w:pPr>
    </w:p>
    <w:p w14:paraId="70501BB3" w14:textId="77777777" w:rsidR="003326E9" w:rsidRPr="001F0760" w:rsidRDefault="003326E9" w:rsidP="003326E9">
      <w:pPr>
        <w:spacing w:after="0"/>
        <w:ind w:left="709"/>
        <w:jc w:val="both"/>
        <w:rPr>
          <w:rFonts w:cstheme="minorHAnsi"/>
          <w:i/>
          <w:iCs/>
        </w:rPr>
      </w:pPr>
      <w:r w:rsidRPr="001F0760">
        <w:rPr>
          <w:rFonts w:cstheme="minorHAnsi"/>
          <w:i/>
          <w:iCs/>
        </w:rPr>
        <w:t>We found that there is no valid reason to not approve the quarry expansion as it is presently proposed, and we recommend that the Project is approved.</w:t>
      </w:r>
    </w:p>
    <w:p w14:paraId="67786A59" w14:textId="77777777" w:rsidR="003326E9" w:rsidRPr="00063A64" w:rsidRDefault="003326E9" w:rsidP="00C76C33">
      <w:pPr>
        <w:spacing w:after="0" w:line="240" w:lineRule="auto"/>
        <w:rPr>
          <w:rFonts w:cstheme="minorHAnsi"/>
        </w:rPr>
      </w:pPr>
    </w:p>
    <w:p w14:paraId="13F3140A" w14:textId="77777777" w:rsidR="00C76C33" w:rsidRPr="00063A64" w:rsidRDefault="00C76C33" w:rsidP="00C76C33">
      <w:pPr>
        <w:spacing w:after="0" w:line="240" w:lineRule="auto"/>
        <w:rPr>
          <w:rFonts w:cstheme="minorHAnsi"/>
        </w:rPr>
      </w:pPr>
      <w:r w:rsidRPr="00063A64">
        <w:rPr>
          <w:rFonts w:cstheme="minorHAnsi"/>
        </w:rPr>
        <w:t xml:space="preserve">The application has been assessed in accordance with the provisions of the </w:t>
      </w:r>
      <w:r w:rsidRPr="00063A64">
        <w:rPr>
          <w:rFonts w:cstheme="minorHAnsi"/>
          <w:i/>
          <w:iCs/>
        </w:rPr>
        <w:t>Environmental Planning &amp; Assessment Act 1979</w:t>
      </w:r>
      <w:r w:rsidRPr="00063A64">
        <w:rPr>
          <w:rFonts w:cstheme="minorHAnsi"/>
        </w:rPr>
        <w:t xml:space="preserve"> and </w:t>
      </w:r>
      <w:r w:rsidRPr="00063A64">
        <w:rPr>
          <w:rFonts w:cstheme="minorHAnsi"/>
          <w:i/>
          <w:iCs/>
        </w:rPr>
        <w:t>Environmental Planning &amp; Assessment Regulation 2000</w:t>
      </w:r>
      <w:r w:rsidRPr="00063A64">
        <w:rPr>
          <w:rFonts w:cstheme="minorHAnsi"/>
        </w:rPr>
        <w:t xml:space="preserve">.  Evaluation and assessment of the application in accordance with the legislative framework has demonstrated that the proposal is satisfactory. </w:t>
      </w:r>
    </w:p>
    <w:p w14:paraId="6A6A3B98" w14:textId="77777777" w:rsidR="00C76C33" w:rsidRPr="00063A64" w:rsidRDefault="00C76C33" w:rsidP="00C76C33">
      <w:pPr>
        <w:spacing w:after="0" w:line="240" w:lineRule="auto"/>
        <w:rPr>
          <w:rFonts w:cstheme="minorHAnsi"/>
        </w:rPr>
      </w:pPr>
    </w:p>
    <w:p w14:paraId="03D8201E" w14:textId="4DDAE318" w:rsidR="001F0760" w:rsidRDefault="00C76C33" w:rsidP="00F84D24">
      <w:pPr>
        <w:spacing w:after="0" w:line="240" w:lineRule="auto"/>
        <w:rPr>
          <w:rFonts w:cstheme="minorHAnsi"/>
        </w:rPr>
      </w:pPr>
      <w:r w:rsidRPr="00063A64">
        <w:rPr>
          <w:rFonts w:cstheme="minorHAnsi"/>
        </w:rPr>
        <w:t xml:space="preserve">It is recommended that Development Application 2019-101 for continued operation and expansion of extraction operations within </w:t>
      </w:r>
      <w:proofErr w:type="spellStart"/>
      <w:r w:rsidRPr="00063A64">
        <w:rPr>
          <w:rFonts w:cstheme="minorHAnsi"/>
        </w:rPr>
        <w:t>Dowe's</w:t>
      </w:r>
      <w:proofErr w:type="spellEnd"/>
      <w:r w:rsidRPr="00063A64">
        <w:rPr>
          <w:rFonts w:cstheme="minorHAnsi"/>
        </w:rPr>
        <w:t xml:space="preserve"> Quarry located on the </w:t>
      </w:r>
      <w:r>
        <w:rPr>
          <w:rFonts w:cstheme="minorHAnsi"/>
        </w:rPr>
        <w:t>subject</w:t>
      </w:r>
      <w:r w:rsidRPr="00063A64">
        <w:rPr>
          <w:rFonts w:cstheme="minorHAnsi"/>
        </w:rPr>
        <w:t xml:space="preserve"> land</w:t>
      </w:r>
      <w:r>
        <w:rPr>
          <w:rFonts w:cstheme="minorHAnsi"/>
        </w:rPr>
        <w:t xml:space="preserve"> </w:t>
      </w:r>
      <w:r w:rsidRPr="00791FD0">
        <w:rPr>
          <w:rFonts w:cstheme="minorHAnsi"/>
        </w:rPr>
        <w:t xml:space="preserve">be approved subject to </w:t>
      </w:r>
      <w:r w:rsidRPr="0089494B">
        <w:rPr>
          <w:rFonts w:cstheme="minorHAnsi"/>
        </w:rPr>
        <w:t xml:space="preserve">the </w:t>
      </w:r>
      <w:r w:rsidR="003326E9" w:rsidRPr="0089494B">
        <w:rPr>
          <w:rFonts w:cstheme="minorHAnsi"/>
        </w:rPr>
        <w:t xml:space="preserve">revised </w:t>
      </w:r>
      <w:r w:rsidR="00EF3688" w:rsidRPr="0089494B">
        <w:rPr>
          <w:rFonts w:cstheme="minorHAnsi"/>
        </w:rPr>
        <w:t xml:space="preserve">recommended </w:t>
      </w:r>
      <w:r w:rsidRPr="0089494B">
        <w:rPr>
          <w:rFonts w:cstheme="minorHAnsi"/>
        </w:rPr>
        <w:t xml:space="preserve">conditions </w:t>
      </w:r>
      <w:r w:rsidR="00020ADF">
        <w:rPr>
          <w:rFonts w:cstheme="minorHAnsi"/>
        </w:rPr>
        <w:t>in Annexure B</w:t>
      </w:r>
      <w:r w:rsidR="0089494B" w:rsidRPr="0089494B">
        <w:rPr>
          <w:rFonts w:cstheme="minorHAnsi"/>
        </w:rPr>
        <w:t>.</w:t>
      </w:r>
    </w:p>
    <w:p w14:paraId="6F2C202B" w14:textId="0ADB0EAE" w:rsidR="001F0760" w:rsidRDefault="001F0760" w:rsidP="00F84D24">
      <w:pPr>
        <w:spacing w:after="0" w:line="240" w:lineRule="auto"/>
        <w:rPr>
          <w:rFonts w:cstheme="minorHAnsi"/>
        </w:rPr>
      </w:pPr>
    </w:p>
    <w:p w14:paraId="10CEE2D6" w14:textId="6BE0D301" w:rsidR="001F0760" w:rsidRDefault="001F0760" w:rsidP="00F84D24">
      <w:pPr>
        <w:spacing w:after="0" w:line="240" w:lineRule="auto"/>
        <w:rPr>
          <w:rFonts w:cstheme="minorHAnsi"/>
        </w:rPr>
      </w:pPr>
    </w:p>
    <w:sectPr w:rsidR="001F07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A6E6" w14:textId="77777777" w:rsidR="00787720" w:rsidRDefault="00787720" w:rsidP="001242AB">
      <w:pPr>
        <w:spacing w:after="0" w:line="240" w:lineRule="auto"/>
      </w:pPr>
      <w:r>
        <w:separator/>
      </w:r>
    </w:p>
  </w:endnote>
  <w:endnote w:type="continuationSeparator" w:id="0">
    <w:p w14:paraId="61080B2A" w14:textId="77777777" w:rsidR="00787720" w:rsidRDefault="00787720" w:rsidP="0012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3049" w14:textId="77777777" w:rsidR="00270C38" w:rsidRDefault="00270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2F92" w14:textId="77777777" w:rsidR="00270C38" w:rsidRDefault="00270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3657" w14:textId="77777777" w:rsidR="00270C38" w:rsidRDefault="0027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84D7" w14:textId="77777777" w:rsidR="00787720" w:rsidRDefault="00787720" w:rsidP="001242AB">
      <w:pPr>
        <w:spacing w:after="0" w:line="240" w:lineRule="auto"/>
      </w:pPr>
      <w:r>
        <w:separator/>
      </w:r>
    </w:p>
  </w:footnote>
  <w:footnote w:type="continuationSeparator" w:id="0">
    <w:p w14:paraId="07E66824" w14:textId="77777777" w:rsidR="00787720" w:rsidRDefault="00787720" w:rsidP="0012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E71D" w14:textId="6844D53F" w:rsidR="00270C38" w:rsidRDefault="00270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7D3" w14:textId="33B5BD1C" w:rsidR="00270C38" w:rsidRDefault="00270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372C" w14:textId="606D9D9F" w:rsidR="00270C38" w:rsidRDefault="0027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B14"/>
    <w:multiLevelType w:val="hybridMultilevel"/>
    <w:tmpl w:val="639E3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C2EC0"/>
    <w:multiLevelType w:val="hybridMultilevel"/>
    <w:tmpl w:val="4E2A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0CD8"/>
    <w:multiLevelType w:val="hybridMultilevel"/>
    <w:tmpl w:val="CF928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77E14"/>
    <w:multiLevelType w:val="hybridMultilevel"/>
    <w:tmpl w:val="E42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21E74"/>
    <w:multiLevelType w:val="hybridMultilevel"/>
    <w:tmpl w:val="813A20F2"/>
    <w:lvl w:ilvl="0" w:tplc="D0B2EB4E">
      <w:start w:val="1"/>
      <w:numFmt w:val="bullet"/>
      <w:pStyle w:val="TASStar"/>
      <w:lvlText w:val=""/>
      <w:lvlJc w:val="left"/>
      <w:pPr>
        <w:ind w:left="720" w:hanging="360"/>
      </w:pPr>
      <w:rPr>
        <w:rFonts w:ascii="Wingdings" w:hAnsi="Wingdings" w:hint="default"/>
        <w:b w:val="0"/>
        <w:i w:val="0"/>
        <w:color w:val="285F96"/>
        <w:sz w:val="20"/>
      </w:rPr>
    </w:lvl>
    <w:lvl w:ilvl="1" w:tplc="CDCA71B8">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A5294"/>
    <w:multiLevelType w:val="hybridMultilevel"/>
    <w:tmpl w:val="6BDA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C650D"/>
    <w:multiLevelType w:val="hybridMultilevel"/>
    <w:tmpl w:val="F8C2C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97CED"/>
    <w:multiLevelType w:val="hybridMultilevel"/>
    <w:tmpl w:val="F898A71C"/>
    <w:lvl w:ilvl="0" w:tplc="0DB6653A">
      <w:numFmt w:val="bullet"/>
      <w:lvlText w:val="•"/>
      <w:lvlJc w:val="left"/>
      <w:pPr>
        <w:ind w:left="465" w:hanging="360"/>
      </w:pPr>
      <w:rPr>
        <w:rFonts w:ascii="Calibri" w:eastAsiaTheme="minorHAnsi" w:hAnsi="Calibri" w:cs="Calibri"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8" w15:restartNumberingAfterBreak="0">
    <w:nsid w:val="34222BB3"/>
    <w:multiLevelType w:val="hybridMultilevel"/>
    <w:tmpl w:val="4ED22392"/>
    <w:lvl w:ilvl="0" w:tplc="0DB6653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815335A"/>
    <w:multiLevelType w:val="hybridMultilevel"/>
    <w:tmpl w:val="7F6A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83196"/>
    <w:multiLevelType w:val="hybridMultilevel"/>
    <w:tmpl w:val="E03AADFA"/>
    <w:lvl w:ilvl="0" w:tplc="D24C6234">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63189D"/>
    <w:multiLevelType w:val="hybridMultilevel"/>
    <w:tmpl w:val="0AD4E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125B71"/>
    <w:multiLevelType w:val="hybridMultilevel"/>
    <w:tmpl w:val="AA34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76819"/>
    <w:multiLevelType w:val="hybridMultilevel"/>
    <w:tmpl w:val="A004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445F4"/>
    <w:multiLevelType w:val="multilevel"/>
    <w:tmpl w:val="0B64659E"/>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5" w15:restartNumberingAfterBreak="0">
    <w:nsid w:val="50DC3B5B"/>
    <w:multiLevelType w:val="hybridMultilevel"/>
    <w:tmpl w:val="BCC8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AB0BE7"/>
    <w:multiLevelType w:val="hybridMultilevel"/>
    <w:tmpl w:val="9C5E5BCE"/>
    <w:lvl w:ilvl="0" w:tplc="73A29CEC">
      <w:numFmt w:val="bullet"/>
      <w:lvlText w:val="•"/>
      <w:lvlJc w:val="left"/>
      <w:pPr>
        <w:ind w:left="81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1367D2"/>
    <w:multiLevelType w:val="hybridMultilevel"/>
    <w:tmpl w:val="137AB420"/>
    <w:lvl w:ilvl="0" w:tplc="0DB6653A">
      <w:numFmt w:val="bullet"/>
      <w:lvlText w:val="•"/>
      <w:lvlJc w:val="left"/>
      <w:pPr>
        <w:ind w:left="46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D65A27"/>
    <w:multiLevelType w:val="hybridMultilevel"/>
    <w:tmpl w:val="8252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45812"/>
    <w:multiLevelType w:val="hybridMultilevel"/>
    <w:tmpl w:val="D1E4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B66488"/>
    <w:multiLevelType w:val="hybridMultilevel"/>
    <w:tmpl w:val="0F22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E31EA"/>
    <w:multiLevelType w:val="hybridMultilevel"/>
    <w:tmpl w:val="2230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4606D9"/>
    <w:multiLevelType w:val="hybridMultilevel"/>
    <w:tmpl w:val="D4F8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A1288A"/>
    <w:multiLevelType w:val="hybridMultilevel"/>
    <w:tmpl w:val="CBEA4B68"/>
    <w:lvl w:ilvl="0" w:tplc="416AFD26">
      <w:start w:val="1"/>
      <w:numFmt w:val="decimal"/>
      <w:lvlText w:val="%1."/>
      <w:lvlJc w:val="left"/>
      <w:pPr>
        <w:ind w:left="820" w:hanging="687"/>
      </w:pPr>
      <w:rPr>
        <w:rFonts w:ascii="Carlito" w:eastAsia="Carlito" w:hAnsi="Carlito" w:cs="Carlito" w:hint="default"/>
        <w:spacing w:val="-27"/>
        <w:w w:val="100"/>
        <w:sz w:val="24"/>
        <w:szCs w:val="24"/>
        <w:lang w:val="en-US" w:eastAsia="en-US" w:bidi="ar-SA"/>
      </w:rPr>
    </w:lvl>
    <w:lvl w:ilvl="1" w:tplc="5B7861D0">
      <w:numFmt w:val="bullet"/>
      <w:lvlText w:val=""/>
      <w:lvlJc w:val="left"/>
      <w:pPr>
        <w:ind w:left="1518" w:hanging="711"/>
      </w:pPr>
      <w:rPr>
        <w:rFonts w:ascii="Symbol" w:eastAsia="Symbol" w:hAnsi="Symbol" w:cs="Symbol" w:hint="default"/>
        <w:w w:val="100"/>
        <w:sz w:val="24"/>
        <w:szCs w:val="24"/>
        <w:lang w:val="en-US" w:eastAsia="en-US" w:bidi="ar-SA"/>
      </w:rPr>
    </w:lvl>
    <w:lvl w:ilvl="2" w:tplc="CDDAD1C0">
      <w:numFmt w:val="bullet"/>
      <w:lvlText w:val="•"/>
      <w:lvlJc w:val="left"/>
      <w:pPr>
        <w:ind w:left="1540" w:hanging="711"/>
      </w:pPr>
      <w:rPr>
        <w:rFonts w:hint="default"/>
        <w:lang w:val="en-US" w:eastAsia="en-US" w:bidi="ar-SA"/>
      </w:rPr>
    </w:lvl>
    <w:lvl w:ilvl="3" w:tplc="388E03D4">
      <w:numFmt w:val="bullet"/>
      <w:lvlText w:val="•"/>
      <w:lvlJc w:val="left"/>
      <w:pPr>
        <w:ind w:left="2505" w:hanging="711"/>
      </w:pPr>
      <w:rPr>
        <w:rFonts w:hint="default"/>
        <w:lang w:val="en-US" w:eastAsia="en-US" w:bidi="ar-SA"/>
      </w:rPr>
    </w:lvl>
    <w:lvl w:ilvl="4" w:tplc="52FE30FC">
      <w:numFmt w:val="bullet"/>
      <w:lvlText w:val="•"/>
      <w:lvlJc w:val="left"/>
      <w:pPr>
        <w:ind w:left="3471" w:hanging="711"/>
      </w:pPr>
      <w:rPr>
        <w:rFonts w:hint="default"/>
        <w:lang w:val="en-US" w:eastAsia="en-US" w:bidi="ar-SA"/>
      </w:rPr>
    </w:lvl>
    <w:lvl w:ilvl="5" w:tplc="AA0613FE">
      <w:numFmt w:val="bullet"/>
      <w:lvlText w:val="•"/>
      <w:lvlJc w:val="left"/>
      <w:pPr>
        <w:ind w:left="4437" w:hanging="711"/>
      </w:pPr>
      <w:rPr>
        <w:rFonts w:hint="default"/>
        <w:lang w:val="en-US" w:eastAsia="en-US" w:bidi="ar-SA"/>
      </w:rPr>
    </w:lvl>
    <w:lvl w:ilvl="6" w:tplc="3CF612D2">
      <w:numFmt w:val="bullet"/>
      <w:lvlText w:val="•"/>
      <w:lvlJc w:val="left"/>
      <w:pPr>
        <w:ind w:left="5403" w:hanging="711"/>
      </w:pPr>
      <w:rPr>
        <w:rFonts w:hint="default"/>
        <w:lang w:val="en-US" w:eastAsia="en-US" w:bidi="ar-SA"/>
      </w:rPr>
    </w:lvl>
    <w:lvl w:ilvl="7" w:tplc="795E6C20">
      <w:numFmt w:val="bullet"/>
      <w:lvlText w:val="•"/>
      <w:lvlJc w:val="left"/>
      <w:pPr>
        <w:ind w:left="6369" w:hanging="711"/>
      </w:pPr>
      <w:rPr>
        <w:rFonts w:hint="default"/>
        <w:lang w:val="en-US" w:eastAsia="en-US" w:bidi="ar-SA"/>
      </w:rPr>
    </w:lvl>
    <w:lvl w:ilvl="8" w:tplc="8DEAB3A2">
      <w:numFmt w:val="bullet"/>
      <w:lvlText w:val="•"/>
      <w:lvlJc w:val="left"/>
      <w:pPr>
        <w:ind w:left="7334" w:hanging="711"/>
      </w:pPr>
      <w:rPr>
        <w:rFonts w:hint="default"/>
        <w:lang w:val="en-US" w:eastAsia="en-US" w:bidi="ar-SA"/>
      </w:rPr>
    </w:lvl>
  </w:abstractNum>
  <w:abstractNum w:abstractNumId="24" w15:restartNumberingAfterBreak="0">
    <w:nsid w:val="76527ECF"/>
    <w:multiLevelType w:val="hybridMultilevel"/>
    <w:tmpl w:val="D77C6708"/>
    <w:lvl w:ilvl="0" w:tplc="0DB6653A">
      <w:numFmt w:val="bullet"/>
      <w:lvlText w:val="•"/>
      <w:lvlJc w:val="left"/>
      <w:pPr>
        <w:ind w:left="46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61369"/>
    <w:multiLevelType w:val="hybridMultilevel"/>
    <w:tmpl w:val="8F228BE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F3F6CA5"/>
    <w:multiLevelType w:val="hybridMultilevel"/>
    <w:tmpl w:val="ABE2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6"/>
  </w:num>
  <w:num w:numId="4">
    <w:abstractNumId w:val="15"/>
  </w:num>
  <w:num w:numId="5">
    <w:abstractNumId w:val="19"/>
  </w:num>
  <w:num w:numId="6">
    <w:abstractNumId w:val="7"/>
  </w:num>
  <w:num w:numId="7">
    <w:abstractNumId w:val="11"/>
  </w:num>
  <w:num w:numId="8">
    <w:abstractNumId w:val="16"/>
  </w:num>
  <w:num w:numId="9">
    <w:abstractNumId w:val="0"/>
  </w:num>
  <w:num w:numId="10">
    <w:abstractNumId w:val="20"/>
  </w:num>
  <w:num w:numId="11">
    <w:abstractNumId w:val="17"/>
  </w:num>
  <w:num w:numId="12">
    <w:abstractNumId w:val="24"/>
  </w:num>
  <w:num w:numId="13">
    <w:abstractNumId w:val="2"/>
  </w:num>
  <w:num w:numId="14">
    <w:abstractNumId w:val="13"/>
  </w:num>
  <w:num w:numId="15">
    <w:abstractNumId w:val="6"/>
  </w:num>
  <w:num w:numId="16">
    <w:abstractNumId w:val="21"/>
  </w:num>
  <w:num w:numId="17">
    <w:abstractNumId w:val="12"/>
  </w:num>
  <w:num w:numId="18">
    <w:abstractNumId w:val="3"/>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5"/>
  </w:num>
  <w:num w:numId="24">
    <w:abstractNumId w:val="22"/>
  </w:num>
  <w:num w:numId="25">
    <w:abstractNumId w:val="9"/>
  </w:num>
  <w:num w:numId="26">
    <w:abstractNumId w:val="4"/>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23"/>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24"/>
    <w:rsid w:val="00013305"/>
    <w:rsid w:val="00020ADF"/>
    <w:rsid w:val="000332F5"/>
    <w:rsid w:val="00035B8E"/>
    <w:rsid w:val="0004156E"/>
    <w:rsid w:val="0005514C"/>
    <w:rsid w:val="00063A64"/>
    <w:rsid w:val="00066088"/>
    <w:rsid w:val="00071033"/>
    <w:rsid w:val="000C1802"/>
    <w:rsid w:val="000C4F4A"/>
    <w:rsid w:val="000D5322"/>
    <w:rsid w:val="000E32B4"/>
    <w:rsid w:val="00112091"/>
    <w:rsid w:val="001164A2"/>
    <w:rsid w:val="001242AB"/>
    <w:rsid w:val="001358EB"/>
    <w:rsid w:val="00141499"/>
    <w:rsid w:val="001665D1"/>
    <w:rsid w:val="001A4722"/>
    <w:rsid w:val="001C4304"/>
    <w:rsid w:val="001D094C"/>
    <w:rsid w:val="001E111A"/>
    <w:rsid w:val="001F0760"/>
    <w:rsid w:val="002203FA"/>
    <w:rsid w:val="002353B5"/>
    <w:rsid w:val="00241646"/>
    <w:rsid w:val="00257A68"/>
    <w:rsid w:val="002618B8"/>
    <w:rsid w:val="00270C38"/>
    <w:rsid w:val="00275617"/>
    <w:rsid w:val="0028500D"/>
    <w:rsid w:val="0028679F"/>
    <w:rsid w:val="00295973"/>
    <w:rsid w:val="002A7B53"/>
    <w:rsid w:val="002B1349"/>
    <w:rsid w:val="002B4559"/>
    <w:rsid w:val="002B7D78"/>
    <w:rsid w:val="002C5AC6"/>
    <w:rsid w:val="002E0D71"/>
    <w:rsid w:val="002E426D"/>
    <w:rsid w:val="002F584E"/>
    <w:rsid w:val="003036F2"/>
    <w:rsid w:val="00306AD2"/>
    <w:rsid w:val="0032683E"/>
    <w:rsid w:val="003326E9"/>
    <w:rsid w:val="0033664D"/>
    <w:rsid w:val="00340AC2"/>
    <w:rsid w:val="00346600"/>
    <w:rsid w:val="0037610B"/>
    <w:rsid w:val="003869A0"/>
    <w:rsid w:val="00391AB5"/>
    <w:rsid w:val="003A080F"/>
    <w:rsid w:val="003B0281"/>
    <w:rsid w:val="003B563F"/>
    <w:rsid w:val="003C4C47"/>
    <w:rsid w:val="003D0C16"/>
    <w:rsid w:val="003F18F5"/>
    <w:rsid w:val="003F4CDE"/>
    <w:rsid w:val="003F4FD4"/>
    <w:rsid w:val="004102FA"/>
    <w:rsid w:val="004272A2"/>
    <w:rsid w:val="00432B02"/>
    <w:rsid w:val="00432B20"/>
    <w:rsid w:val="00455810"/>
    <w:rsid w:val="00481EC7"/>
    <w:rsid w:val="0048340F"/>
    <w:rsid w:val="00487437"/>
    <w:rsid w:val="00497424"/>
    <w:rsid w:val="004A5B6D"/>
    <w:rsid w:val="004B3F45"/>
    <w:rsid w:val="004D656C"/>
    <w:rsid w:val="004E0AC9"/>
    <w:rsid w:val="004E42F5"/>
    <w:rsid w:val="004E63DE"/>
    <w:rsid w:val="004E6B19"/>
    <w:rsid w:val="00502EE5"/>
    <w:rsid w:val="00524498"/>
    <w:rsid w:val="0054516F"/>
    <w:rsid w:val="0056283F"/>
    <w:rsid w:val="0057291F"/>
    <w:rsid w:val="0058482C"/>
    <w:rsid w:val="00595B94"/>
    <w:rsid w:val="005A6679"/>
    <w:rsid w:val="005B0333"/>
    <w:rsid w:val="005B0BA1"/>
    <w:rsid w:val="005B674C"/>
    <w:rsid w:val="005E786A"/>
    <w:rsid w:val="00644CCF"/>
    <w:rsid w:val="00650651"/>
    <w:rsid w:val="00650E1D"/>
    <w:rsid w:val="00672E92"/>
    <w:rsid w:val="00693F1C"/>
    <w:rsid w:val="006941B0"/>
    <w:rsid w:val="006C6F7F"/>
    <w:rsid w:val="006E5089"/>
    <w:rsid w:val="006E5AA3"/>
    <w:rsid w:val="006F298B"/>
    <w:rsid w:val="006F7FE9"/>
    <w:rsid w:val="00706E85"/>
    <w:rsid w:val="00715FA5"/>
    <w:rsid w:val="00731A94"/>
    <w:rsid w:val="0074634F"/>
    <w:rsid w:val="00754722"/>
    <w:rsid w:val="00754ADF"/>
    <w:rsid w:val="00761F47"/>
    <w:rsid w:val="0076748B"/>
    <w:rsid w:val="00787720"/>
    <w:rsid w:val="007879E7"/>
    <w:rsid w:val="00791FD0"/>
    <w:rsid w:val="007D6364"/>
    <w:rsid w:val="007F4C27"/>
    <w:rsid w:val="007F799F"/>
    <w:rsid w:val="0080114D"/>
    <w:rsid w:val="008172CC"/>
    <w:rsid w:val="008220C2"/>
    <w:rsid w:val="00834BA5"/>
    <w:rsid w:val="00856B18"/>
    <w:rsid w:val="00867E28"/>
    <w:rsid w:val="00883A2F"/>
    <w:rsid w:val="00885A52"/>
    <w:rsid w:val="0089494B"/>
    <w:rsid w:val="008C0DCB"/>
    <w:rsid w:val="008D790F"/>
    <w:rsid w:val="008E722B"/>
    <w:rsid w:val="008F13B6"/>
    <w:rsid w:val="008F2204"/>
    <w:rsid w:val="008F58CD"/>
    <w:rsid w:val="00906D31"/>
    <w:rsid w:val="0091644B"/>
    <w:rsid w:val="0092372E"/>
    <w:rsid w:val="00947368"/>
    <w:rsid w:val="00951144"/>
    <w:rsid w:val="00981977"/>
    <w:rsid w:val="00985209"/>
    <w:rsid w:val="00994AA6"/>
    <w:rsid w:val="0099737D"/>
    <w:rsid w:val="009B1772"/>
    <w:rsid w:val="009B4C5E"/>
    <w:rsid w:val="009C781D"/>
    <w:rsid w:val="009E6025"/>
    <w:rsid w:val="009F3C3C"/>
    <w:rsid w:val="00A211FE"/>
    <w:rsid w:val="00A215A3"/>
    <w:rsid w:val="00A27CC9"/>
    <w:rsid w:val="00A31311"/>
    <w:rsid w:val="00A71B91"/>
    <w:rsid w:val="00A72144"/>
    <w:rsid w:val="00A72EC1"/>
    <w:rsid w:val="00A829BA"/>
    <w:rsid w:val="00A83475"/>
    <w:rsid w:val="00A844BA"/>
    <w:rsid w:val="00A878C9"/>
    <w:rsid w:val="00AC2838"/>
    <w:rsid w:val="00AD05B4"/>
    <w:rsid w:val="00B04D41"/>
    <w:rsid w:val="00B10836"/>
    <w:rsid w:val="00B15357"/>
    <w:rsid w:val="00B20867"/>
    <w:rsid w:val="00B23C5B"/>
    <w:rsid w:val="00B62B05"/>
    <w:rsid w:val="00BA5534"/>
    <w:rsid w:val="00BD0177"/>
    <w:rsid w:val="00BD5C17"/>
    <w:rsid w:val="00BF28AE"/>
    <w:rsid w:val="00C11B09"/>
    <w:rsid w:val="00C17501"/>
    <w:rsid w:val="00C21818"/>
    <w:rsid w:val="00C221DD"/>
    <w:rsid w:val="00C3696A"/>
    <w:rsid w:val="00C3702E"/>
    <w:rsid w:val="00C50B40"/>
    <w:rsid w:val="00C514A3"/>
    <w:rsid w:val="00C51CAF"/>
    <w:rsid w:val="00C628BA"/>
    <w:rsid w:val="00C751BF"/>
    <w:rsid w:val="00C76803"/>
    <w:rsid w:val="00C76C33"/>
    <w:rsid w:val="00C942A5"/>
    <w:rsid w:val="00C96385"/>
    <w:rsid w:val="00CA6B96"/>
    <w:rsid w:val="00CB524F"/>
    <w:rsid w:val="00CC3334"/>
    <w:rsid w:val="00CD3804"/>
    <w:rsid w:val="00CD51B5"/>
    <w:rsid w:val="00D17C54"/>
    <w:rsid w:val="00D22817"/>
    <w:rsid w:val="00D25184"/>
    <w:rsid w:val="00D327CA"/>
    <w:rsid w:val="00D3458C"/>
    <w:rsid w:val="00D34FD4"/>
    <w:rsid w:val="00D47E89"/>
    <w:rsid w:val="00D55950"/>
    <w:rsid w:val="00D6590A"/>
    <w:rsid w:val="00D859E3"/>
    <w:rsid w:val="00D86137"/>
    <w:rsid w:val="00DA08E1"/>
    <w:rsid w:val="00DA5064"/>
    <w:rsid w:val="00DA5D10"/>
    <w:rsid w:val="00DC3472"/>
    <w:rsid w:val="00DE3227"/>
    <w:rsid w:val="00DF70CC"/>
    <w:rsid w:val="00DF7BF6"/>
    <w:rsid w:val="00E15AEB"/>
    <w:rsid w:val="00E26BAC"/>
    <w:rsid w:val="00E27397"/>
    <w:rsid w:val="00E303EC"/>
    <w:rsid w:val="00E354A5"/>
    <w:rsid w:val="00E45A9B"/>
    <w:rsid w:val="00E46BE2"/>
    <w:rsid w:val="00E52EF9"/>
    <w:rsid w:val="00E915D3"/>
    <w:rsid w:val="00EA56C5"/>
    <w:rsid w:val="00EC0EAD"/>
    <w:rsid w:val="00EC4AC6"/>
    <w:rsid w:val="00EF3688"/>
    <w:rsid w:val="00F021D4"/>
    <w:rsid w:val="00F0418F"/>
    <w:rsid w:val="00F42A77"/>
    <w:rsid w:val="00F55342"/>
    <w:rsid w:val="00F61AE9"/>
    <w:rsid w:val="00F7134C"/>
    <w:rsid w:val="00F84D24"/>
    <w:rsid w:val="00F918FF"/>
    <w:rsid w:val="00F93205"/>
    <w:rsid w:val="00F93D15"/>
    <w:rsid w:val="00FA3424"/>
    <w:rsid w:val="00FB25FA"/>
    <w:rsid w:val="00FC2724"/>
    <w:rsid w:val="00FC4C0D"/>
    <w:rsid w:val="00FD0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6D9D"/>
  <w15:chartTrackingRefBased/>
  <w15:docId w15:val="{FBC02523-6F69-49D3-ADCA-0691551F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3D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7D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5342"/>
    <w:pPr>
      <w:spacing w:after="0" w:line="240" w:lineRule="auto"/>
      <w:ind w:left="720"/>
      <w:contextualSpacing/>
      <w:jc w:val="both"/>
    </w:pPr>
    <w:rPr>
      <w:rFonts w:ascii="Arial" w:hAnsi="Arial" w:cs="Arial"/>
      <w:sz w:val="20"/>
      <w:szCs w:val="20"/>
    </w:rPr>
  </w:style>
  <w:style w:type="character" w:customStyle="1" w:styleId="formelementlabel">
    <w:name w:val="formelementlabel"/>
    <w:basedOn w:val="DefaultParagraphFont"/>
    <w:rsid w:val="00F55342"/>
  </w:style>
  <w:style w:type="paragraph" w:styleId="NormalWeb">
    <w:name w:val="Normal (Web)"/>
    <w:basedOn w:val="Normal"/>
    <w:uiPriority w:val="99"/>
    <w:semiHidden/>
    <w:unhideWhenUsed/>
    <w:rsid w:val="003F4FD4"/>
    <w:pPr>
      <w:spacing w:before="100" w:beforeAutospacing="1" w:after="100" w:afterAutospacing="1" w:line="240" w:lineRule="auto"/>
    </w:pPr>
    <w:rPr>
      <w:rFonts w:ascii="Calibri" w:hAnsi="Calibri" w:cs="Calibri"/>
      <w:lang w:eastAsia="en-AU"/>
    </w:rPr>
  </w:style>
  <w:style w:type="paragraph" w:customStyle="1" w:styleId="gmail-msolistparagraph">
    <w:name w:val="gmail-msolistparagraph"/>
    <w:basedOn w:val="Normal"/>
    <w:rsid w:val="003F4FD4"/>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semiHidden/>
    <w:unhideWhenUsed/>
    <w:rsid w:val="00CB524F"/>
    <w:rPr>
      <w:color w:val="0000FF"/>
      <w:u w:val="single"/>
    </w:rPr>
  </w:style>
  <w:style w:type="character" w:customStyle="1" w:styleId="Heading2Char">
    <w:name w:val="Heading 2 Char"/>
    <w:basedOn w:val="DefaultParagraphFont"/>
    <w:link w:val="Heading2"/>
    <w:uiPriority w:val="9"/>
    <w:rsid w:val="00F93D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3D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B7D7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951144"/>
    <w:rPr>
      <w:rFonts w:asciiTheme="majorHAnsi" w:eastAsiaTheme="majorEastAsia" w:hAnsiTheme="majorHAnsi" w:cstheme="majorBidi"/>
      <w:color w:val="2F5496" w:themeColor="accent1" w:themeShade="BF"/>
      <w:sz w:val="32"/>
      <w:szCs w:val="32"/>
    </w:rPr>
  </w:style>
  <w:style w:type="character" w:customStyle="1" w:styleId="frag-no">
    <w:name w:val="frag-no"/>
    <w:basedOn w:val="DefaultParagraphFont"/>
    <w:rsid w:val="00C221DD"/>
  </w:style>
  <w:style w:type="character" w:customStyle="1" w:styleId="frag-heading">
    <w:name w:val="frag-heading"/>
    <w:basedOn w:val="DefaultParagraphFont"/>
    <w:rsid w:val="00C221DD"/>
  </w:style>
  <w:style w:type="paragraph" w:styleId="BalloonText">
    <w:name w:val="Balloon Text"/>
    <w:basedOn w:val="Normal"/>
    <w:link w:val="BalloonTextChar"/>
    <w:uiPriority w:val="99"/>
    <w:semiHidden/>
    <w:unhideWhenUsed/>
    <w:rsid w:val="00CC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34"/>
    <w:rPr>
      <w:rFonts w:ascii="Segoe UI" w:hAnsi="Segoe UI" w:cs="Segoe UI"/>
      <w:sz w:val="18"/>
      <w:szCs w:val="18"/>
    </w:rPr>
  </w:style>
  <w:style w:type="character" w:styleId="CommentReference">
    <w:name w:val="annotation reference"/>
    <w:basedOn w:val="DefaultParagraphFont"/>
    <w:uiPriority w:val="99"/>
    <w:semiHidden/>
    <w:unhideWhenUsed/>
    <w:rsid w:val="00CC3334"/>
    <w:rPr>
      <w:sz w:val="16"/>
      <w:szCs w:val="16"/>
    </w:rPr>
  </w:style>
  <w:style w:type="paragraph" w:styleId="CommentText">
    <w:name w:val="annotation text"/>
    <w:basedOn w:val="Normal"/>
    <w:link w:val="CommentTextChar"/>
    <w:uiPriority w:val="99"/>
    <w:semiHidden/>
    <w:unhideWhenUsed/>
    <w:rsid w:val="00CC3334"/>
    <w:pPr>
      <w:spacing w:line="240" w:lineRule="auto"/>
    </w:pPr>
    <w:rPr>
      <w:sz w:val="20"/>
      <w:szCs w:val="20"/>
    </w:rPr>
  </w:style>
  <w:style w:type="character" w:customStyle="1" w:styleId="CommentTextChar">
    <w:name w:val="Comment Text Char"/>
    <w:basedOn w:val="DefaultParagraphFont"/>
    <w:link w:val="CommentText"/>
    <w:uiPriority w:val="99"/>
    <w:semiHidden/>
    <w:rsid w:val="00CC3334"/>
    <w:rPr>
      <w:sz w:val="20"/>
      <w:szCs w:val="20"/>
    </w:rPr>
  </w:style>
  <w:style w:type="paragraph" w:styleId="CommentSubject">
    <w:name w:val="annotation subject"/>
    <w:basedOn w:val="CommentText"/>
    <w:next w:val="CommentText"/>
    <w:link w:val="CommentSubjectChar"/>
    <w:uiPriority w:val="99"/>
    <w:semiHidden/>
    <w:unhideWhenUsed/>
    <w:rsid w:val="00CC3334"/>
    <w:rPr>
      <w:b/>
      <w:bCs/>
    </w:rPr>
  </w:style>
  <w:style w:type="character" w:customStyle="1" w:styleId="CommentSubjectChar">
    <w:name w:val="Comment Subject Char"/>
    <w:basedOn w:val="CommentTextChar"/>
    <w:link w:val="CommentSubject"/>
    <w:uiPriority w:val="99"/>
    <w:semiHidden/>
    <w:rsid w:val="00CC3334"/>
    <w:rPr>
      <w:b/>
      <w:bCs/>
      <w:sz w:val="20"/>
      <w:szCs w:val="20"/>
    </w:rPr>
  </w:style>
  <w:style w:type="paragraph" w:styleId="Caption">
    <w:name w:val="caption"/>
    <w:basedOn w:val="Normal"/>
    <w:next w:val="Normal"/>
    <w:uiPriority w:val="35"/>
    <w:unhideWhenUsed/>
    <w:qFormat/>
    <w:rsid w:val="004A5B6D"/>
    <w:pPr>
      <w:spacing w:after="0" w:line="240" w:lineRule="auto"/>
    </w:pPr>
    <w:rPr>
      <w:b/>
      <w:bCs/>
      <w:color w:val="44546A" w:themeColor="text2"/>
    </w:rPr>
  </w:style>
  <w:style w:type="character" w:customStyle="1" w:styleId="BodyTextChar">
    <w:name w:val="Body Text Char"/>
    <w:aliases w:val="Body Text (for Web) Char"/>
    <w:basedOn w:val="DefaultParagraphFont"/>
    <w:link w:val="BodyText"/>
    <w:semiHidden/>
    <w:locked/>
    <w:rsid w:val="00C942A5"/>
  </w:style>
  <w:style w:type="paragraph" w:styleId="BodyText">
    <w:name w:val="Body Text"/>
    <w:aliases w:val="Body Text (for Web)"/>
    <w:basedOn w:val="Normal"/>
    <w:link w:val="BodyTextChar"/>
    <w:semiHidden/>
    <w:unhideWhenUsed/>
    <w:rsid w:val="00C942A5"/>
    <w:pPr>
      <w:spacing w:after="120" w:line="276" w:lineRule="auto"/>
      <w:jc w:val="both"/>
    </w:pPr>
  </w:style>
  <w:style w:type="character" w:customStyle="1" w:styleId="BodyTextChar1">
    <w:name w:val="Body Text Char1"/>
    <w:basedOn w:val="DefaultParagraphFont"/>
    <w:uiPriority w:val="99"/>
    <w:semiHidden/>
    <w:rsid w:val="00C942A5"/>
  </w:style>
  <w:style w:type="paragraph" w:styleId="Header">
    <w:name w:val="header"/>
    <w:basedOn w:val="Normal"/>
    <w:link w:val="HeaderChar"/>
    <w:uiPriority w:val="99"/>
    <w:unhideWhenUsed/>
    <w:rsid w:val="0012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AB"/>
  </w:style>
  <w:style w:type="paragraph" w:styleId="Footer">
    <w:name w:val="footer"/>
    <w:basedOn w:val="Normal"/>
    <w:link w:val="FooterChar"/>
    <w:uiPriority w:val="99"/>
    <w:unhideWhenUsed/>
    <w:rsid w:val="0012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AB"/>
  </w:style>
  <w:style w:type="paragraph" w:customStyle="1" w:styleId="TASStar">
    <w:name w:val="TAS Star"/>
    <w:basedOn w:val="ListParagraph"/>
    <w:autoRedefine/>
    <w:qFormat/>
    <w:rsid w:val="000C1802"/>
    <w:pPr>
      <w:numPr>
        <w:numId w:val="26"/>
      </w:numPr>
      <w:spacing w:after="200" w:line="276" w:lineRule="auto"/>
      <w:contextualSpacing w:val="0"/>
    </w:pPr>
    <w:rPr>
      <w:rFonts w:ascii="CG Omega" w:eastAsia="Calibri" w:hAnsi="CG Omeg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29577">
      <w:bodyDiv w:val="1"/>
      <w:marLeft w:val="0"/>
      <w:marRight w:val="0"/>
      <w:marTop w:val="0"/>
      <w:marBottom w:val="0"/>
      <w:divBdr>
        <w:top w:val="none" w:sz="0" w:space="0" w:color="auto"/>
        <w:left w:val="none" w:sz="0" w:space="0" w:color="auto"/>
        <w:bottom w:val="none" w:sz="0" w:space="0" w:color="auto"/>
        <w:right w:val="none" w:sz="0" w:space="0" w:color="auto"/>
      </w:divBdr>
    </w:div>
    <w:div w:id="413669372">
      <w:bodyDiv w:val="1"/>
      <w:marLeft w:val="0"/>
      <w:marRight w:val="0"/>
      <w:marTop w:val="0"/>
      <w:marBottom w:val="0"/>
      <w:divBdr>
        <w:top w:val="none" w:sz="0" w:space="0" w:color="auto"/>
        <w:left w:val="none" w:sz="0" w:space="0" w:color="auto"/>
        <w:bottom w:val="none" w:sz="0" w:space="0" w:color="auto"/>
        <w:right w:val="none" w:sz="0" w:space="0" w:color="auto"/>
      </w:divBdr>
    </w:div>
    <w:div w:id="414936528">
      <w:bodyDiv w:val="1"/>
      <w:marLeft w:val="0"/>
      <w:marRight w:val="0"/>
      <w:marTop w:val="0"/>
      <w:marBottom w:val="0"/>
      <w:divBdr>
        <w:top w:val="none" w:sz="0" w:space="0" w:color="auto"/>
        <w:left w:val="none" w:sz="0" w:space="0" w:color="auto"/>
        <w:bottom w:val="none" w:sz="0" w:space="0" w:color="auto"/>
        <w:right w:val="none" w:sz="0" w:space="0" w:color="auto"/>
      </w:divBdr>
    </w:div>
    <w:div w:id="1220559827">
      <w:bodyDiv w:val="1"/>
      <w:marLeft w:val="0"/>
      <w:marRight w:val="0"/>
      <w:marTop w:val="0"/>
      <w:marBottom w:val="0"/>
      <w:divBdr>
        <w:top w:val="none" w:sz="0" w:space="0" w:color="auto"/>
        <w:left w:val="none" w:sz="0" w:space="0" w:color="auto"/>
        <w:bottom w:val="none" w:sz="0" w:space="0" w:color="auto"/>
        <w:right w:val="none" w:sz="0" w:space="0" w:color="auto"/>
      </w:divBdr>
    </w:div>
    <w:div w:id="1412193009">
      <w:bodyDiv w:val="1"/>
      <w:marLeft w:val="0"/>
      <w:marRight w:val="0"/>
      <w:marTop w:val="0"/>
      <w:marBottom w:val="0"/>
      <w:divBdr>
        <w:top w:val="none" w:sz="0" w:space="0" w:color="auto"/>
        <w:left w:val="none" w:sz="0" w:space="0" w:color="auto"/>
        <w:bottom w:val="none" w:sz="0" w:space="0" w:color="auto"/>
        <w:right w:val="none" w:sz="0" w:space="0" w:color="auto"/>
      </w:divBdr>
    </w:div>
    <w:div w:id="1511217301">
      <w:bodyDiv w:val="1"/>
      <w:marLeft w:val="0"/>
      <w:marRight w:val="0"/>
      <w:marTop w:val="0"/>
      <w:marBottom w:val="0"/>
      <w:divBdr>
        <w:top w:val="none" w:sz="0" w:space="0" w:color="auto"/>
        <w:left w:val="none" w:sz="0" w:space="0" w:color="auto"/>
        <w:bottom w:val="none" w:sz="0" w:space="0" w:color="auto"/>
        <w:right w:val="none" w:sz="0" w:space="0" w:color="auto"/>
      </w:divBdr>
    </w:div>
    <w:div w:id="1938056344">
      <w:bodyDiv w:val="1"/>
      <w:marLeft w:val="0"/>
      <w:marRight w:val="0"/>
      <w:marTop w:val="0"/>
      <w:marBottom w:val="0"/>
      <w:divBdr>
        <w:top w:val="none" w:sz="0" w:space="0" w:color="auto"/>
        <w:left w:val="none" w:sz="0" w:space="0" w:color="auto"/>
        <w:bottom w:val="none" w:sz="0" w:space="0" w:color="auto"/>
        <w:right w:val="none" w:sz="0" w:space="0" w:color="auto"/>
      </w:divBdr>
    </w:div>
    <w:div w:id="20490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AC5D-2C50-4A19-B500-AB6A4CFA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Daintith</dc:creator>
  <cp:keywords/>
  <dc:description/>
  <cp:lastModifiedBy>Anthony Daintith</cp:lastModifiedBy>
  <cp:revision>4</cp:revision>
  <cp:lastPrinted>2021-03-22T06:03:00Z</cp:lastPrinted>
  <dcterms:created xsi:type="dcterms:W3CDTF">2021-03-23T04:12:00Z</dcterms:created>
  <dcterms:modified xsi:type="dcterms:W3CDTF">2021-03-23T07:10:00Z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